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9CFE8" w14:textId="77777777" w:rsidR="000C02B7" w:rsidRPr="007F2EC4" w:rsidRDefault="000C02B7" w:rsidP="0017519E">
      <w:pPr>
        <w:spacing w:line="240" w:lineRule="auto"/>
        <w:rPr>
          <w:rFonts w:cs="Times New Roman"/>
          <w:szCs w:val="24"/>
          <w:shd w:val="clear" w:color="auto" w:fill="FFFFFF"/>
        </w:rPr>
      </w:pPr>
      <w:bookmarkStart w:id="0" w:name="_Hlk21444390"/>
      <w:bookmarkEnd w:id="0"/>
    </w:p>
    <w:p w14:paraId="1659C0CA" w14:textId="77777777" w:rsidR="000C02B7" w:rsidRPr="00BD3108" w:rsidRDefault="000C02B7" w:rsidP="000C02B7">
      <w:pPr>
        <w:spacing w:line="240" w:lineRule="auto"/>
        <w:jc w:val="center"/>
        <w:rPr>
          <w:rFonts w:cs="Times New Roman"/>
          <w:szCs w:val="24"/>
          <w:lang w:val="en-US"/>
        </w:rPr>
      </w:pPr>
    </w:p>
    <w:p w14:paraId="0C45C021" w14:textId="77777777" w:rsidR="000C02B7" w:rsidRPr="00BD3108" w:rsidRDefault="000C02B7" w:rsidP="000C02B7">
      <w:pPr>
        <w:spacing w:line="240" w:lineRule="auto"/>
        <w:jc w:val="center"/>
        <w:rPr>
          <w:rFonts w:cs="Times New Roman"/>
          <w:b/>
          <w:szCs w:val="24"/>
          <w:lang w:val="en-US"/>
        </w:rPr>
      </w:pPr>
    </w:p>
    <w:p w14:paraId="6AE8750C" w14:textId="77777777" w:rsidR="000C02B7" w:rsidRPr="00BD3108" w:rsidRDefault="000C02B7" w:rsidP="000C02B7">
      <w:pPr>
        <w:spacing w:line="240" w:lineRule="auto"/>
        <w:jc w:val="center"/>
        <w:rPr>
          <w:rFonts w:cs="Times New Roman"/>
          <w:b/>
          <w:szCs w:val="24"/>
          <w:lang w:val="en-US"/>
        </w:rPr>
      </w:pPr>
    </w:p>
    <w:p w14:paraId="72DF3D00" w14:textId="77777777" w:rsidR="000C02B7" w:rsidRPr="00BD3108" w:rsidRDefault="000C02B7" w:rsidP="000C02B7">
      <w:pPr>
        <w:spacing w:line="240" w:lineRule="auto"/>
        <w:jc w:val="center"/>
        <w:rPr>
          <w:rFonts w:cs="Times New Roman"/>
          <w:b/>
          <w:szCs w:val="24"/>
          <w:lang w:val="en-US"/>
        </w:rPr>
      </w:pPr>
    </w:p>
    <w:p w14:paraId="79341BB6" w14:textId="77777777" w:rsidR="000C02B7" w:rsidRPr="00BD3108" w:rsidRDefault="000C02B7" w:rsidP="000C02B7">
      <w:pPr>
        <w:spacing w:line="240" w:lineRule="auto"/>
        <w:rPr>
          <w:rFonts w:cs="Times New Roman"/>
          <w:b/>
          <w:szCs w:val="24"/>
          <w:lang w:val="en-US"/>
        </w:rPr>
      </w:pPr>
    </w:p>
    <w:p w14:paraId="5F1818EA" w14:textId="77777777" w:rsidR="000C02B7" w:rsidRPr="00BD3108" w:rsidRDefault="000C02B7" w:rsidP="000C02B7">
      <w:pPr>
        <w:spacing w:line="240" w:lineRule="auto"/>
        <w:rPr>
          <w:rFonts w:cs="Times New Roman"/>
          <w:b/>
          <w:szCs w:val="24"/>
          <w:lang w:val="en-US"/>
        </w:rPr>
      </w:pPr>
    </w:p>
    <w:p w14:paraId="3A80B654" w14:textId="77777777" w:rsidR="000C02B7" w:rsidRPr="00BD3108" w:rsidRDefault="000C02B7" w:rsidP="000C02B7">
      <w:pPr>
        <w:spacing w:line="240" w:lineRule="auto"/>
        <w:jc w:val="center"/>
        <w:rPr>
          <w:rFonts w:cs="Times New Roman"/>
          <w:b/>
          <w:szCs w:val="24"/>
          <w:lang w:val="en-US"/>
        </w:rPr>
      </w:pPr>
    </w:p>
    <w:p w14:paraId="76DF8EE0" w14:textId="77777777" w:rsidR="000C02B7" w:rsidRPr="00BD3108" w:rsidRDefault="000C02B7" w:rsidP="000C02B7">
      <w:pPr>
        <w:spacing w:line="240" w:lineRule="auto"/>
        <w:jc w:val="center"/>
        <w:rPr>
          <w:rFonts w:cs="Times New Roman"/>
          <w:b/>
          <w:szCs w:val="24"/>
          <w:lang w:val="en-US"/>
        </w:rPr>
      </w:pPr>
    </w:p>
    <w:p w14:paraId="797929D2" w14:textId="77777777" w:rsidR="000C02B7" w:rsidRPr="00BD3108" w:rsidRDefault="000C02B7" w:rsidP="000C02B7">
      <w:pPr>
        <w:spacing w:line="240" w:lineRule="auto"/>
        <w:jc w:val="center"/>
        <w:rPr>
          <w:rFonts w:cs="Times New Roman"/>
          <w:b/>
          <w:szCs w:val="24"/>
          <w:lang w:val="en-US"/>
        </w:rPr>
      </w:pPr>
    </w:p>
    <w:p w14:paraId="384666A2" w14:textId="77777777" w:rsidR="000C02B7" w:rsidRPr="00BD3108" w:rsidRDefault="000C02B7" w:rsidP="000C02B7">
      <w:pPr>
        <w:spacing w:line="240" w:lineRule="auto"/>
        <w:jc w:val="center"/>
        <w:rPr>
          <w:rFonts w:cs="Times New Roman"/>
          <w:b/>
          <w:szCs w:val="24"/>
          <w:lang w:val="en-US"/>
        </w:rPr>
      </w:pPr>
    </w:p>
    <w:p w14:paraId="7FDC2CBD" w14:textId="77777777" w:rsidR="000C02B7" w:rsidRPr="00BD3108" w:rsidRDefault="000C02B7" w:rsidP="000C02B7">
      <w:pPr>
        <w:spacing w:line="240" w:lineRule="auto"/>
        <w:jc w:val="center"/>
        <w:rPr>
          <w:rFonts w:cs="Times New Roman"/>
          <w:b/>
          <w:szCs w:val="24"/>
          <w:lang w:val="en-US"/>
        </w:rPr>
      </w:pPr>
    </w:p>
    <w:p w14:paraId="3CAD5156" w14:textId="77777777" w:rsidR="000C02B7" w:rsidRPr="00BD3108" w:rsidRDefault="000C02B7" w:rsidP="000C02B7">
      <w:pPr>
        <w:spacing w:line="240" w:lineRule="auto"/>
        <w:jc w:val="center"/>
        <w:rPr>
          <w:rFonts w:cs="Times New Roman"/>
          <w:b/>
          <w:szCs w:val="24"/>
          <w:lang w:val="en-US"/>
        </w:rPr>
      </w:pPr>
      <w:bookmarkStart w:id="1" w:name="_GoBack"/>
      <w:bookmarkEnd w:id="1"/>
    </w:p>
    <w:p w14:paraId="601621B0" w14:textId="77777777" w:rsidR="000C02B7" w:rsidRPr="00BD3108" w:rsidRDefault="000C02B7" w:rsidP="000C02B7">
      <w:pPr>
        <w:spacing w:line="240" w:lineRule="auto"/>
        <w:jc w:val="center"/>
        <w:rPr>
          <w:rFonts w:cs="Times New Roman"/>
          <w:b/>
          <w:szCs w:val="24"/>
          <w:lang w:val="en-US"/>
        </w:rPr>
      </w:pPr>
    </w:p>
    <w:p w14:paraId="5C1CE383" w14:textId="54653978" w:rsidR="000C02B7" w:rsidRDefault="000C02B7" w:rsidP="000C02B7">
      <w:pPr>
        <w:spacing w:line="240" w:lineRule="auto"/>
        <w:rPr>
          <w:rFonts w:cs="Times New Roman"/>
          <w:szCs w:val="24"/>
          <w:u w:val="single"/>
          <w:lang w:val="en-US"/>
        </w:rPr>
      </w:pPr>
    </w:p>
    <w:p w14:paraId="26F990D5" w14:textId="77777777" w:rsidR="00601C93" w:rsidRPr="00BD3108" w:rsidRDefault="00601C93" w:rsidP="00601C93">
      <w:pPr>
        <w:spacing w:line="240" w:lineRule="auto"/>
        <w:jc w:val="center"/>
        <w:outlineLvl w:val="0"/>
        <w:rPr>
          <w:rFonts w:cs="Times New Roman"/>
          <w:b/>
          <w:szCs w:val="24"/>
          <w:lang w:val="en-US"/>
        </w:rPr>
      </w:pPr>
      <w:r>
        <w:rPr>
          <w:rFonts w:cs="Times New Roman"/>
          <w:b/>
          <w:szCs w:val="24"/>
          <w:lang w:val="en-US"/>
        </w:rPr>
        <w:t>Canadian Multiculturalism</w:t>
      </w:r>
      <w:r w:rsidRPr="00BD3108">
        <w:rPr>
          <w:rFonts w:cs="Times New Roman"/>
          <w:b/>
          <w:szCs w:val="24"/>
          <w:lang w:val="en-US"/>
        </w:rPr>
        <w:t>:</w:t>
      </w:r>
    </w:p>
    <w:p w14:paraId="4F35FE37" w14:textId="77777777" w:rsidR="00601C93" w:rsidRPr="00BD3108" w:rsidRDefault="00601C93" w:rsidP="00601C93">
      <w:pPr>
        <w:spacing w:line="240" w:lineRule="auto"/>
        <w:jc w:val="center"/>
        <w:rPr>
          <w:rFonts w:cs="Times New Roman"/>
          <w:szCs w:val="24"/>
          <w:u w:val="single"/>
          <w:lang w:val="en-US"/>
        </w:rPr>
      </w:pPr>
    </w:p>
    <w:p w14:paraId="65665EB7" w14:textId="77777777" w:rsidR="00601C93" w:rsidRPr="00BD3108" w:rsidRDefault="00601C93" w:rsidP="00601C93">
      <w:pPr>
        <w:spacing w:line="240" w:lineRule="auto"/>
        <w:jc w:val="center"/>
        <w:outlineLvl w:val="0"/>
        <w:rPr>
          <w:rFonts w:cs="Times New Roman"/>
          <w:b/>
          <w:szCs w:val="24"/>
          <w:lang w:val="en-US"/>
        </w:rPr>
      </w:pPr>
      <w:r>
        <w:rPr>
          <w:rFonts w:cs="Times New Roman"/>
          <w:b/>
          <w:szCs w:val="24"/>
          <w:lang w:val="en-US"/>
        </w:rPr>
        <w:t>Steps Towards Representative Bureaucracy</w:t>
      </w:r>
    </w:p>
    <w:p w14:paraId="4A5A91A0" w14:textId="77777777" w:rsidR="00451073" w:rsidRPr="00601C93" w:rsidRDefault="00451073" w:rsidP="00601C93">
      <w:pPr>
        <w:spacing w:line="240" w:lineRule="auto"/>
        <w:jc w:val="center"/>
        <w:outlineLvl w:val="0"/>
        <w:rPr>
          <w:rFonts w:cs="Times New Roman"/>
          <w:b/>
          <w:szCs w:val="24"/>
          <w:lang w:val="en-US"/>
        </w:rPr>
      </w:pPr>
    </w:p>
    <w:p w14:paraId="5B5110EC" w14:textId="77777777" w:rsidR="000C02B7" w:rsidRPr="00601C93" w:rsidRDefault="000C02B7" w:rsidP="00601C93">
      <w:pPr>
        <w:spacing w:line="240" w:lineRule="auto"/>
        <w:jc w:val="center"/>
        <w:outlineLvl w:val="0"/>
        <w:rPr>
          <w:rFonts w:cs="Times New Roman"/>
          <w:b/>
          <w:szCs w:val="24"/>
          <w:lang w:val="en-US"/>
        </w:rPr>
      </w:pPr>
    </w:p>
    <w:p w14:paraId="500322FF" w14:textId="77777777" w:rsidR="000C02B7" w:rsidRPr="00BD3108" w:rsidRDefault="000C02B7" w:rsidP="000C02B7">
      <w:pPr>
        <w:spacing w:line="240" w:lineRule="auto"/>
        <w:rPr>
          <w:rFonts w:cs="Times New Roman"/>
          <w:szCs w:val="24"/>
          <w:u w:val="single"/>
          <w:lang w:val="en-US"/>
        </w:rPr>
      </w:pPr>
    </w:p>
    <w:p w14:paraId="236274BE" w14:textId="77777777" w:rsidR="000C02B7" w:rsidRPr="00BD3108" w:rsidRDefault="000C02B7" w:rsidP="000C02B7">
      <w:pPr>
        <w:spacing w:line="240" w:lineRule="auto"/>
        <w:rPr>
          <w:rFonts w:cs="Times New Roman"/>
          <w:szCs w:val="24"/>
          <w:u w:val="single"/>
          <w:lang w:val="en-US"/>
        </w:rPr>
      </w:pPr>
    </w:p>
    <w:p w14:paraId="13256A47" w14:textId="77777777" w:rsidR="000C02B7" w:rsidRPr="00BD3108" w:rsidRDefault="000C02B7" w:rsidP="000C02B7">
      <w:pPr>
        <w:spacing w:line="240" w:lineRule="auto"/>
        <w:rPr>
          <w:rFonts w:cs="Times New Roman"/>
          <w:szCs w:val="24"/>
          <w:u w:val="single"/>
          <w:lang w:val="en-US"/>
        </w:rPr>
      </w:pPr>
    </w:p>
    <w:p w14:paraId="1D6AE3B0" w14:textId="77777777" w:rsidR="000C02B7" w:rsidRPr="00BD3108" w:rsidRDefault="000C02B7" w:rsidP="000C02B7">
      <w:pPr>
        <w:spacing w:line="240" w:lineRule="auto"/>
        <w:rPr>
          <w:rFonts w:cs="Times New Roman"/>
          <w:szCs w:val="24"/>
          <w:u w:val="single"/>
          <w:lang w:val="en-US"/>
        </w:rPr>
      </w:pPr>
    </w:p>
    <w:p w14:paraId="28AD8BC4" w14:textId="77777777" w:rsidR="000C02B7" w:rsidRPr="00BD3108" w:rsidRDefault="000C02B7" w:rsidP="000C02B7">
      <w:pPr>
        <w:spacing w:line="240" w:lineRule="auto"/>
        <w:rPr>
          <w:rFonts w:cs="Times New Roman"/>
          <w:szCs w:val="24"/>
          <w:u w:val="single"/>
          <w:lang w:val="en-US"/>
        </w:rPr>
      </w:pPr>
    </w:p>
    <w:p w14:paraId="24D793DB" w14:textId="77777777" w:rsidR="000C02B7" w:rsidRPr="00BD3108" w:rsidRDefault="000C02B7" w:rsidP="000C02B7">
      <w:pPr>
        <w:spacing w:line="240" w:lineRule="auto"/>
        <w:rPr>
          <w:rFonts w:cs="Times New Roman"/>
          <w:szCs w:val="24"/>
          <w:u w:val="single"/>
          <w:lang w:val="en-US"/>
        </w:rPr>
      </w:pPr>
    </w:p>
    <w:p w14:paraId="7D4FEE21" w14:textId="77777777" w:rsidR="000C02B7" w:rsidRPr="00BD3108" w:rsidRDefault="000C02B7" w:rsidP="000C02B7">
      <w:pPr>
        <w:spacing w:line="240" w:lineRule="auto"/>
        <w:jc w:val="center"/>
        <w:rPr>
          <w:rFonts w:cs="Times New Roman"/>
          <w:szCs w:val="24"/>
          <w:u w:val="single"/>
          <w:lang w:val="en-US"/>
        </w:rPr>
      </w:pPr>
    </w:p>
    <w:p w14:paraId="7E6F6351" w14:textId="77777777" w:rsidR="000C02B7" w:rsidRPr="00BD3108" w:rsidRDefault="000C02B7" w:rsidP="000C02B7">
      <w:pPr>
        <w:spacing w:line="240" w:lineRule="auto"/>
        <w:jc w:val="center"/>
        <w:rPr>
          <w:rFonts w:cs="Times New Roman"/>
          <w:szCs w:val="24"/>
          <w:u w:val="single"/>
          <w:lang w:val="en-US"/>
        </w:rPr>
      </w:pPr>
    </w:p>
    <w:p w14:paraId="12421A08" w14:textId="77777777" w:rsidR="000C02B7" w:rsidRPr="00BD3108" w:rsidRDefault="000C02B7" w:rsidP="000C02B7">
      <w:pPr>
        <w:spacing w:line="240" w:lineRule="auto"/>
        <w:jc w:val="center"/>
        <w:rPr>
          <w:rFonts w:cs="Times New Roman"/>
          <w:szCs w:val="24"/>
          <w:u w:val="single"/>
          <w:lang w:val="en-US"/>
        </w:rPr>
      </w:pPr>
    </w:p>
    <w:p w14:paraId="0CED6546" w14:textId="77777777" w:rsidR="000C02B7" w:rsidRPr="00BD3108" w:rsidRDefault="000C02B7" w:rsidP="000C02B7">
      <w:pPr>
        <w:spacing w:line="240" w:lineRule="auto"/>
        <w:jc w:val="center"/>
        <w:outlineLvl w:val="0"/>
        <w:rPr>
          <w:rFonts w:cs="Times New Roman"/>
          <w:szCs w:val="24"/>
          <w:u w:val="single"/>
          <w:lang w:val="en-US"/>
        </w:rPr>
      </w:pPr>
      <w:r w:rsidRPr="00BD3108">
        <w:rPr>
          <w:rFonts w:cs="Times New Roman"/>
          <w:szCs w:val="24"/>
          <w:u w:val="single"/>
          <w:lang w:val="en-US"/>
        </w:rPr>
        <w:t>Andrew Lam</w:t>
      </w:r>
    </w:p>
    <w:p w14:paraId="0A52E308" w14:textId="77777777" w:rsidR="000C02B7" w:rsidRPr="00BD3108" w:rsidRDefault="000C02B7" w:rsidP="000C02B7">
      <w:pPr>
        <w:spacing w:line="240" w:lineRule="auto"/>
        <w:jc w:val="center"/>
        <w:rPr>
          <w:rFonts w:cs="Times New Roman"/>
          <w:szCs w:val="24"/>
          <w:u w:val="single"/>
          <w:lang w:val="en-US"/>
        </w:rPr>
      </w:pPr>
    </w:p>
    <w:p w14:paraId="28DC7104" w14:textId="77777777" w:rsidR="000C02B7" w:rsidRPr="00BD3108" w:rsidRDefault="000C02B7" w:rsidP="000C02B7">
      <w:pPr>
        <w:spacing w:line="240" w:lineRule="auto"/>
        <w:jc w:val="center"/>
        <w:outlineLvl w:val="0"/>
        <w:rPr>
          <w:rFonts w:cs="Times New Roman"/>
          <w:szCs w:val="24"/>
          <w:lang w:val="en-US"/>
        </w:rPr>
      </w:pPr>
      <w:r w:rsidRPr="00BD3108">
        <w:rPr>
          <w:rFonts w:cs="Times New Roman"/>
          <w:szCs w:val="24"/>
          <w:lang w:val="en-US"/>
        </w:rPr>
        <w:t>Department of Sociology and Social Anthropology, Dalhousie University, Halifax, Canada</w:t>
      </w:r>
    </w:p>
    <w:p w14:paraId="2BE86864" w14:textId="77777777" w:rsidR="000C02B7" w:rsidRPr="00BD3108" w:rsidRDefault="000C02B7" w:rsidP="000C02B7">
      <w:pPr>
        <w:spacing w:line="240" w:lineRule="auto"/>
        <w:jc w:val="center"/>
        <w:rPr>
          <w:rFonts w:cs="Times New Roman"/>
          <w:szCs w:val="24"/>
          <w:lang w:val="en-US"/>
        </w:rPr>
      </w:pPr>
    </w:p>
    <w:p w14:paraId="0DF9982D" w14:textId="77777777" w:rsidR="000C02B7" w:rsidRPr="00BD3108" w:rsidRDefault="000C02B7" w:rsidP="000C02B7">
      <w:pPr>
        <w:spacing w:line="240" w:lineRule="auto"/>
        <w:jc w:val="center"/>
        <w:rPr>
          <w:rFonts w:cs="Times New Roman"/>
          <w:szCs w:val="24"/>
          <w:lang w:val="en-US"/>
        </w:rPr>
      </w:pPr>
      <w:r w:rsidRPr="00BD3108">
        <w:rPr>
          <w:rFonts w:cs="Times New Roman"/>
          <w:szCs w:val="24"/>
          <w:lang w:val="en-US"/>
        </w:rPr>
        <w:t>lam.andrew10@gmail.com</w:t>
      </w:r>
    </w:p>
    <w:p w14:paraId="3B4FB3A4" w14:textId="77777777" w:rsidR="000C02B7" w:rsidRPr="00BD3108" w:rsidRDefault="000C02B7" w:rsidP="000C02B7">
      <w:pPr>
        <w:spacing w:line="240" w:lineRule="auto"/>
        <w:jc w:val="center"/>
        <w:rPr>
          <w:rFonts w:cs="Times New Roman"/>
          <w:szCs w:val="24"/>
          <w:lang w:val="en-US"/>
        </w:rPr>
      </w:pPr>
    </w:p>
    <w:p w14:paraId="7BAB6461" w14:textId="3CD8CD8A" w:rsidR="000C02B7" w:rsidRPr="00BD3108" w:rsidRDefault="000C02B7" w:rsidP="000C02B7">
      <w:pPr>
        <w:spacing w:line="240" w:lineRule="auto"/>
        <w:jc w:val="center"/>
        <w:outlineLvl w:val="0"/>
        <w:rPr>
          <w:rFonts w:cs="Times New Roman"/>
          <w:szCs w:val="24"/>
          <w:lang w:val="en-US"/>
        </w:rPr>
      </w:pPr>
      <w:r w:rsidRPr="00BD3108">
        <w:rPr>
          <w:rFonts w:cs="Times New Roman"/>
          <w:szCs w:val="24"/>
          <w:lang w:val="en-US"/>
        </w:rPr>
        <w:t>Eddy Ng</w:t>
      </w:r>
    </w:p>
    <w:p w14:paraId="7936DA37" w14:textId="77777777" w:rsidR="000C02B7" w:rsidRPr="00BD3108" w:rsidRDefault="000C02B7" w:rsidP="000C02B7">
      <w:pPr>
        <w:spacing w:line="240" w:lineRule="auto"/>
        <w:jc w:val="center"/>
        <w:rPr>
          <w:rFonts w:cs="Times New Roman"/>
          <w:szCs w:val="24"/>
          <w:lang w:val="en-US"/>
        </w:rPr>
      </w:pPr>
    </w:p>
    <w:p w14:paraId="485E6F49" w14:textId="13880FA3" w:rsidR="000C02B7" w:rsidRPr="00BD3108" w:rsidRDefault="00E04186" w:rsidP="000C02B7">
      <w:pPr>
        <w:spacing w:line="240" w:lineRule="auto"/>
        <w:jc w:val="center"/>
        <w:outlineLvl w:val="0"/>
        <w:rPr>
          <w:rFonts w:cs="Times New Roman"/>
          <w:szCs w:val="24"/>
          <w:lang w:val="en-US"/>
        </w:rPr>
      </w:pPr>
      <w:r>
        <w:rPr>
          <w:rFonts w:cs="Times New Roman"/>
          <w:szCs w:val="24"/>
          <w:lang w:val="en-US"/>
        </w:rPr>
        <w:t xml:space="preserve">Freeman College </w:t>
      </w:r>
      <w:r w:rsidR="000C02B7" w:rsidRPr="00BD3108">
        <w:rPr>
          <w:rFonts w:cs="Times New Roman"/>
          <w:szCs w:val="24"/>
          <w:lang w:val="en-US"/>
        </w:rPr>
        <w:t>of</w:t>
      </w:r>
      <w:r>
        <w:rPr>
          <w:rFonts w:cs="Times New Roman"/>
          <w:szCs w:val="24"/>
          <w:lang w:val="en-US"/>
        </w:rPr>
        <w:t xml:space="preserve"> Management</w:t>
      </w:r>
      <w:r w:rsidR="000C02B7" w:rsidRPr="00BD3108">
        <w:rPr>
          <w:rFonts w:cs="Times New Roman"/>
          <w:szCs w:val="24"/>
          <w:lang w:val="en-US"/>
        </w:rPr>
        <w:t xml:space="preserve">, </w:t>
      </w:r>
      <w:r>
        <w:rPr>
          <w:rFonts w:cs="Times New Roman"/>
          <w:szCs w:val="24"/>
          <w:lang w:val="en-US"/>
        </w:rPr>
        <w:t xml:space="preserve">Bucknell </w:t>
      </w:r>
      <w:r w:rsidR="000C02B7" w:rsidRPr="00BD3108">
        <w:rPr>
          <w:rFonts w:cs="Times New Roman"/>
          <w:szCs w:val="24"/>
          <w:lang w:val="en-US"/>
        </w:rPr>
        <w:t>University,</w:t>
      </w:r>
      <w:r>
        <w:rPr>
          <w:rFonts w:cs="Times New Roman"/>
          <w:szCs w:val="24"/>
          <w:lang w:val="en-US"/>
        </w:rPr>
        <w:t xml:space="preserve"> Lewisburg, PA</w:t>
      </w:r>
      <w:r w:rsidR="00385281">
        <w:rPr>
          <w:rFonts w:cs="Times New Roman"/>
          <w:szCs w:val="24"/>
          <w:lang w:val="en-US"/>
        </w:rPr>
        <w:t>, USA</w:t>
      </w:r>
      <w:r w:rsidRPr="00BD3108" w:rsidDel="00E04186">
        <w:rPr>
          <w:rFonts w:cs="Times New Roman"/>
          <w:szCs w:val="24"/>
          <w:lang w:val="en-US"/>
        </w:rPr>
        <w:t xml:space="preserve"> </w:t>
      </w:r>
    </w:p>
    <w:p w14:paraId="69E00E5F" w14:textId="77777777" w:rsidR="000C02B7" w:rsidRPr="00BD3108" w:rsidRDefault="000C02B7" w:rsidP="000C02B7">
      <w:pPr>
        <w:spacing w:line="240" w:lineRule="auto"/>
        <w:jc w:val="center"/>
        <w:rPr>
          <w:rFonts w:cs="Times New Roman"/>
          <w:szCs w:val="24"/>
          <w:lang w:val="en-US"/>
        </w:rPr>
      </w:pPr>
    </w:p>
    <w:p w14:paraId="53943DF5" w14:textId="4BEE1274" w:rsidR="000C02B7" w:rsidRPr="00BD3108" w:rsidRDefault="00766C47" w:rsidP="000C02B7">
      <w:pPr>
        <w:spacing w:line="240" w:lineRule="auto"/>
        <w:jc w:val="center"/>
        <w:rPr>
          <w:rFonts w:cs="Times New Roman"/>
          <w:szCs w:val="24"/>
          <w:lang w:val="en-US"/>
        </w:rPr>
      </w:pPr>
      <w:r>
        <w:rPr>
          <w:rFonts w:cs="Times New Roman"/>
          <w:szCs w:val="24"/>
          <w:lang w:val="en-US"/>
        </w:rPr>
        <w:t>e</w:t>
      </w:r>
      <w:r w:rsidR="000C02B7" w:rsidRPr="00BD3108">
        <w:rPr>
          <w:rFonts w:cs="Times New Roman"/>
          <w:szCs w:val="24"/>
          <w:lang w:val="en-US"/>
        </w:rPr>
        <w:t>d</w:t>
      </w:r>
      <w:r w:rsidR="00E04186">
        <w:rPr>
          <w:rFonts w:cs="Times New Roman"/>
          <w:szCs w:val="24"/>
          <w:lang w:val="en-US"/>
        </w:rPr>
        <w:t>dy.</w:t>
      </w:r>
      <w:r w:rsidR="000C02B7" w:rsidRPr="00BD3108">
        <w:rPr>
          <w:rFonts w:cs="Times New Roman"/>
          <w:szCs w:val="24"/>
          <w:lang w:val="en-US"/>
        </w:rPr>
        <w:t>ng@</w:t>
      </w:r>
      <w:r w:rsidR="00E04186">
        <w:rPr>
          <w:rFonts w:cs="Times New Roman"/>
          <w:szCs w:val="24"/>
          <w:lang w:val="en-US"/>
        </w:rPr>
        <w:t>bucknell</w:t>
      </w:r>
      <w:r w:rsidR="000C02B7" w:rsidRPr="00BD3108">
        <w:rPr>
          <w:rFonts w:cs="Times New Roman"/>
          <w:szCs w:val="24"/>
          <w:lang w:val="en-US"/>
        </w:rPr>
        <w:t>.</w:t>
      </w:r>
      <w:r w:rsidR="00E04186">
        <w:rPr>
          <w:rFonts w:cs="Times New Roman"/>
          <w:szCs w:val="24"/>
          <w:lang w:val="en-US"/>
        </w:rPr>
        <w:t>edu</w:t>
      </w:r>
    </w:p>
    <w:p w14:paraId="7919CBF9" w14:textId="77777777" w:rsidR="000C02B7" w:rsidRPr="00BD3108" w:rsidRDefault="000C02B7" w:rsidP="000C02B7">
      <w:pPr>
        <w:spacing w:line="480" w:lineRule="auto"/>
        <w:rPr>
          <w:rFonts w:cs="Times New Roman"/>
          <w:szCs w:val="24"/>
          <w:lang w:val="en-US"/>
        </w:rPr>
      </w:pPr>
    </w:p>
    <w:p w14:paraId="6DB305D7" w14:textId="77777777" w:rsidR="000C02B7" w:rsidRPr="00BD3108" w:rsidRDefault="000C02B7" w:rsidP="000C02B7">
      <w:pPr>
        <w:spacing w:line="480" w:lineRule="auto"/>
        <w:rPr>
          <w:rFonts w:cs="Times New Roman"/>
          <w:szCs w:val="24"/>
          <w:lang w:val="en-US"/>
        </w:rPr>
      </w:pPr>
    </w:p>
    <w:p w14:paraId="07F40903" w14:textId="3067CDD7" w:rsidR="000C02B7" w:rsidRDefault="000C02B7" w:rsidP="000C02B7">
      <w:pPr>
        <w:spacing w:line="480" w:lineRule="auto"/>
        <w:rPr>
          <w:rFonts w:cs="Times New Roman"/>
          <w:szCs w:val="24"/>
          <w:lang w:val="en-US"/>
        </w:rPr>
      </w:pPr>
    </w:p>
    <w:p w14:paraId="380A6DF7" w14:textId="699F0F88" w:rsidR="000C02B7" w:rsidRDefault="000C02B7" w:rsidP="000C02B7">
      <w:pPr>
        <w:rPr>
          <w:rFonts w:cs="Times New Roman"/>
          <w:szCs w:val="24"/>
          <w:lang w:val="en-US"/>
        </w:rPr>
      </w:pPr>
    </w:p>
    <w:p w14:paraId="1623CBD8" w14:textId="77777777" w:rsidR="00F040E9" w:rsidRPr="00BD3108" w:rsidRDefault="00F040E9" w:rsidP="000C02B7">
      <w:pPr>
        <w:rPr>
          <w:rFonts w:cs="Times New Roman"/>
          <w:b/>
          <w:szCs w:val="24"/>
          <w:lang w:val="en-US"/>
        </w:rPr>
      </w:pPr>
    </w:p>
    <w:p w14:paraId="0499417F" w14:textId="22DE5ED3" w:rsidR="00F77DE0" w:rsidRDefault="000C02B7" w:rsidP="00F77DE0">
      <w:pPr>
        <w:jc w:val="center"/>
        <w:rPr>
          <w:b/>
          <w:bCs/>
        </w:rPr>
      </w:pPr>
      <w:r>
        <w:rPr>
          <w:b/>
          <w:bCs/>
        </w:rPr>
        <w:t>INTRODUCTION</w:t>
      </w:r>
    </w:p>
    <w:p w14:paraId="3001765A" w14:textId="0D52B301" w:rsidR="005D4696" w:rsidRDefault="00AC08A6" w:rsidP="001D2507">
      <w:pPr>
        <w:spacing w:line="240" w:lineRule="auto"/>
        <w:jc w:val="center"/>
        <w:rPr>
          <w:rFonts w:eastAsia="Times New Roman" w:cs="Times New Roman"/>
          <w:i/>
          <w:iCs/>
          <w:color w:val="333333"/>
          <w:szCs w:val="24"/>
          <w:shd w:val="clear" w:color="auto" w:fill="FFFFFF"/>
        </w:rPr>
      </w:pPr>
      <w:r>
        <w:rPr>
          <w:rFonts w:eastAsia="Times New Roman" w:cs="Times New Roman"/>
          <w:i/>
          <w:iCs/>
          <w:color w:val="333333"/>
          <w:szCs w:val="24"/>
          <w:shd w:val="clear" w:color="auto" w:fill="FFFFFF"/>
        </w:rPr>
        <w:t>“</w:t>
      </w:r>
      <w:r w:rsidR="005D4696" w:rsidRPr="001D2507">
        <w:rPr>
          <w:rFonts w:eastAsia="Times New Roman" w:cs="Times New Roman"/>
          <w:i/>
          <w:iCs/>
          <w:color w:val="333333"/>
          <w:szCs w:val="24"/>
          <w:shd w:val="clear" w:color="auto" w:fill="FFFFFF"/>
        </w:rPr>
        <w:t>Canadians understand that diversity is our strength. We know that Canada has succeeded—culturally, politically, economically—because of our diversity, not in spite of it.</w:t>
      </w:r>
      <w:r>
        <w:rPr>
          <w:rFonts w:eastAsia="Times New Roman" w:cs="Times New Roman"/>
          <w:i/>
          <w:iCs/>
          <w:color w:val="333333"/>
          <w:szCs w:val="24"/>
          <w:shd w:val="clear" w:color="auto" w:fill="FFFFFF"/>
        </w:rPr>
        <w:t>”</w:t>
      </w:r>
    </w:p>
    <w:p w14:paraId="354853B1" w14:textId="77777777" w:rsidR="005D4696" w:rsidRDefault="005D4696" w:rsidP="005D4696">
      <w:pPr>
        <w:spacing w:line="240" w:lineRule="auto"/>
        <w:jc w:val="right"/>
        <w:rPr>
          <w:rFonts w:eastAsia="Times New Roman" w:cs="Times New Roman"/>
          <w:color w:val="333333"/>
          <w:szCs w:val="24"/>
          <w:shd w:val="clear" w:color="auto" w:fill="FFFFFF"/>
        </w:rPr>
      </w:pPr>
    </w:p>
    <w:p w14:paraId="2054CB91" w14:textId="31E45150" w:rsidR="005D4696" w:rsidRPr="005D4696" w:rsidRDefault="00A57932" w:rsidP="001D2507">
      <w:pPr>
        <w:spacing w:line="240" w:lineRule="auto"/>
        <w:jc w:val="right"/>
        <w:rPr>
          <w:rFonts w:eastAsia="Times New Roman" w:cs="Times New Roman"/>
          <w:szCs w:val="24"/>
        </w:rPr>
      </w:pPr>
      <w:r>
        <w:rPr>
          <w:rFonts w:eastAsia="Times New Roman" w:cs="Times New Roman"/>
          <w:color w:val="333333"/>
          <w:szCs w:val="24"/>
          <w:shd w:val="clear" w:color="auto" w:fill="FFFFFF"/>
        </w:rPr>
        <w:t xml:space="preserve">Prime Minister </w:t>
      </w:r>
      <w:r w:rsidR="005D4696" w:rsidRPr="001D2507">
        <w:rPr>
          <w:rFonts w:eastAsia="Times New Roman" w:cs="Times New Roman"/>
          <w:color w:val="333333"/>
          <w:szCs w:val="24"/>
          <w:shd w:val="clear" w:color="auto" w:fill="FFFFFF"/>
        </w:rPr>
        <w:t xml:space="preserve">Justin Trudeau, </w:t>
      </w:r>
      <w:r w:rsidR="005D4696">
        <w:rPr>
          <w:rFonts w:eastAsia="Times New Roman" w:cs="Times New Roman"/>
          <w:color w:val="333333"/>
          <w:szCs w:val="24"/>
          <w:shd w:val="clear" w:color="auto" w:fill="FFFFFF"/>
        </w:rPr>
        <w:t xml:space="preserve">London, UK (November 26, 2015) </w:t>
      </w:r>
    </w:p>
    <w:p w14:paraId="1D2FF5DD" w14:textId="77777777" w:rsidR="005D4696" w:rsidRPr="001D2507" w:rsidRDefault="005D4696" w:rsidP="001D2507">
      <w:pPr>
        <w:spacing w:line="240" w:lineRule="auto"/>
      </w:pPr>
    </w:p>
    <w:p w14:paraId="592D8352" w14:textId="3B87658D" w:rsidR="00AC08A6" w:rsidRDefault="00E56121" w:rsidP="00E56121">
      <w:r>
        <w:t xml:space="preserve">Since the 1960s, Canada and other western industrialized countries experienced low fertility rates and an ageing population and workforce (McDonald and </w:t>
      </w:r>
      <w:proofErr w:type="spellStart"/>
      <w:r>
        <w:t>Kippen</w:t>
      </w:r>
      <w:proofErr w:type="spellEnd"/>
      <w:r>
        <w:t xml:space="preserve"> 2001).  Canada strategically used immigration to address these issues by sustaining population growth and fostering national competitiveness.  </w:t>
      </w:r>
      <w:r w:rsidR="00FE06F9">
        <w:t xml:space="preserve">From 1885, Canada has discouraged or prohibited non-white and non-European immigration under its “White Canada” policy.  By </w:t>
      </w:r>
      <w:r>
        <w:t>1962, Canada officially repealed its White Canada</w:t>
      </w:r>
      <w:r w:rsidR="004D16DA">
        <w:t xml:space="preserve"> </w:t>
      </w:r>
      <w:r>
        <w:t>immigration policy resulting in Asia and the Middle East becoming the principle source of immigrants</w:t>
      </w:r>
      <w:r w:rsidR="004D16DA">
        <w:t xml:space="preserve"> </w:t>
      </w:r>
      <w:r w:rsidR="00AC08A6">
        <w:t>(</w:t>
      </w:r>
      <w:r w:rsidR="004D16DA">
        <w:t xml:space="preserve">see Taylor, </w:t>
      </w:r>
      <w:r w:rsidR="00ED279A">
        <w:t>1991)</w:t>
      </w:r>
      <w:r>
        <w:t xml:space="preserve">. </w:t>
      </w:r>
      <w:r w:rsidR="00430ABD">
        <w:t xml:space="preserve">Shifting immigration patterns from Europe to Asia and the Middle East </w:t>
      </w:r>
      <w:r w:rsidR="00227918">
        <w:t xml:space="preserve">also </w:t>
      </w:r>
      <w:r w:rsidR="00430ABD">
        <w:t>saw Canada’s visible minority population increased from 16.2% in 2006</w:t>
      </w:r>
      <w:r w:rsidR="00430ABD" w:rsidDel="00CB4F37">
        <w:t xml:space="preserve"> </w:t>
      </w:r>
      <w:r w:rsidR="00430ABD">
        <w:t xml:space="preserve">to 22.3% in 2016 over a ten-year period (Statistics Canada 2017).  </w:t>
      </w:r>
      <w:r>
        <w:t xml:space="preserve">Canada now maintains one of the world’s most diverse demographic profiles.  In 2011, Canada’s foreign-born population represented 20.6% of the total population, compared with 19.8% in 2006, and it is expected to climb to 30% by 2036 (Statistics Canada 2011, 2017).  Among the Group of Eight (G8) countries, Canada’s demographic profile reflected the highest proportion of foreign-born </w:t>
      </w:r>
      <w:r w:rsidR="00186EF0">
        <w:t xml:space="preserve">population </w:t>
      </w:r>
      <w:r>
        <w:t>(20.6%), surpassing that of the United Kingdom (11.5% in 2010), the United States (12.9% in 2010) and Germany (13.0% in 2010).  Only Australia (26.8% in 2010) has a higher proportion of the foreign-born population.</w:t>
      </w:r>
    </w:p>
    <w:p w14:paraId="00ABC4BA" w14:textId="5E339C7D" w:rsidR="00057E1C" w:rsidRDefault="00E56121">
      <w:pPr>
        <w:ind w:firstLine="720"/>
      </w:pPr>
      <w:r>
        <w:t xml:space="preserve">  </w:t>
      </w:r>
      <w:r w:rsidR="00A9132A">
        <w:t>As populism</w:t>
      </w:r>
      <w:r w:rsidR="00870ABA">
        <w:t>,</w:t>
      </w:r>
      <w:r w:rsidR="00A9132A">
        <w:t xml:space="preserve"> </w:t>
      </w:r>
      <w:r w:rsidR="00870ABA">
        <w:t xml:space="preserve">along with anti-immigrant sentiments, </w:t>
      </w:r>
      <w:r w:rsidR="00A9132A">
        <w:t>ha</w:t>
      </w:r>
      <w:r w:rsidR="00870ABA">
        <w:t>ve</w:t>
      </w:r>
      <w:r w:rsidR="00A9132A">
        <w:t xml:space="preserve"> taken root and gain prominence in many Western democracies </w:t>
      </w:r>
      <w:r w:rsidR="00B97A99">
        <w:t xml:space="preserve">(e.g., </w:t>
      </w:r>
      <w:r w:rsidR="00FE06F9">
        <w:t>the “</w:t>
      </w:r>
      <w:r w:rsidR="00A9132A">
        <w:t>alt right</w:t>
      </w:r>
      <w:r w:rsidR="00FE06F9">
        <w:t>”</w:t>
      </w:r>
      <w:r w:rsidR="00A9132A">
        <w:t xml:space="preserve"> movement in the US, Brexit in the UK,</w:t>
      </w:r>
      <w:r w:rsidR="00FE06F9">
        <w:t xml:space="preserve"> the rise of far right leaders in France and the Netherlands</w:t>
      </w:r>
      <w:r w:rsidR="00B97A99">
        <w:t>),</w:t>
      </w:r>
      <w:r w:rsidR="00FE06F9">
        <w:t xml:space="preserve"> Canada remains the only country where its attitudes towards immigrants are positive (Taylor, 2018).  </w:t>
      </w:r>
      <w:r w:rsidR="004D0B53" w:rsidRPr="001D2507">
        <w:t>An aging workforce and the shortage of skills have necessitated Canada to welcome more immigrants (Hughes, 2019).  Various industrial sectors now rely on foreign-trained professionals (see Hoag 2008) and they are viewed to be essential for Canada’s economic growth (Cohen 2012).</w:t>
      </w:r>
      <w:r w:rsidR="004D0B53">
        <w:t xml:space="preserve">  </w:t>
      </w:r>
      <w:r w:rsidR="006B5D41">
        <w:t xml:space="preserve">In this regard, Canada is a beacon of tolerance, which sets it apart from other Western democracies in the </w:t>
      </w:r>
      <w:r w:rsidR="006B5D41">
        <w:lastRenderedPageBreak/>
        <w:t>current political climate.  As a result, Canada makes for an interesting case study and offers lessons for other immigrant receiving countries.</w:t>
      </w:r>
      <w:r w:rsidR="00057E1C">
        <w:t xml:space="preserve">  </w:t>
      </w:r>
    </w:p>
    <w:p w14:paraId="0A97FC67" w14:textId="58A6C76B" w:rsidR="00AC08A6" w:rsidRDefault="00AC08A6" w:rsidP="00AC08A6">
      <w:pPr>
        <w:ind w:firstLine="720"/>
      </w:pPr>
    </w:p>
    <w:p w14:paraId="72F0B165" w14:textId="0C1E1394" w:rsidR="006B5D41" w:rsidRDefault="00E56121">
      <w:pPr>
        <w:ind w:firstLine="720"/>
      </w:pPr>
      <w:r>
        <w:t>Th</w:t>
      </w:r>
      <w:r w:rsidR="005954BE">
        <w:t>e increasing ethnocultural diversity</w:t>
      </w:r>
      <w:r>
        <w:t xml:space="preserve"> poses serious challenges for national integration as the rapid movement of peoples, cultures, and the resulting </w:t>
      </w:r>
      <w:r w:rsidR="007073E4">
        <w:t>ethno-</w:t>
      </w:r>
      <w:r>
        <w:t>plurality has shifted Canada from a single national culture to multiple fluid national identities</w:t>
      </w:r>
      <w:r w:rsidR="006B5D41">
        <w:t xml:space="preserve"> (Ray, 2005)</w:t>
      </w:r>
      <w:r>
        <w:t xml:space="preserve">. </w:t>
      </w:r>
      <w:r w:rsidR="006B5D41">
        <w:t xml:space="preserve"> </w:t>
      </w:r>
      <w:r>
        <w:t xml:space="preserve">Canada’s diversity makes this difficult as </w:t>
      </w:r>
      <w:r w:rsidR="00057E1C">
        <w:t xml:space="preserve">it </w:t>
      </w:r>
      <w:r>
        <w:t xml:space="preserve">has transformed into a multicultural country with the indigenous peoples (Indians, Inuit and Metis), a linguistic minority (the Québécois as French-speaking sub-national minority), and diverse racial and ethnic minorities through immigration.  </w:t>
      </w:r>
      <w:r w:rsidRPr="00153D64">
        <w:t>In 2016, 19.4% of Canadians reported speaking more than one language at home, compared to 17.5% in 2011 (Statistics Canada 201</w:t>
      </w:r>
      <w:r w:rsidR="00332333">
        <w:t>7</w:t>
      </w:r>
      <w:r w:rsidRPr="00153D64">
        <w:t xml:space="preserve">).  Similarly, seven out of 10 people </w:t>
      </w:r>
      <w:r w:rsidR="0064557D">
        <w:t xml:space="preserve">speak </w:t>
      </w:r>
      <w:r w:rsidRPr="00153D64">
        <w:t>a mother tongue that was not English or French – Canada’s official languages –</w:t>
      </w:r>
      <w:r w:rsidR="0064557D">
        <w:t xml:space="preserve"> </w:t>
      </w:r>
      <w:r w:rsidRPr="00153D64">
        <w:t>at home.  Immigration has also contributed to the growth in religious diversity in Canada.  In 1991, 82.8% of the population believed in a form of Christianity – Catholic, Protestant, Christian Orthodox, and Christian – compared to 67.3% in 2011 with the rise of non-Christian beliefs (Statistics Canada 2016</w:t>
      </w:r>
      <w:r w:rsidR="00F82E0B">
        <w:t>,</w:t>
      </w:r>
      <w:r w:rsidRPr="00153D64">
        <w:t xml:space="preserve"> 2017).  </w:t>
      </w:r>
    </w:p>
    <w:p w14:paraId="2303C695" w14:textId="7AFC5F33" w:rsidR="00057E1C" w:rsidRDefault="00B97A99">
      <w:pPr>
        <w:ind w:firstLine="720"/>
      </w:pPr>
      <w:r>
        <w:t xml:space="preserve">As a result, </w:t>
      </w:r>
      <w:r w:rsidR="005E3DCE">
        <w:t xml:space="preserve">Canada </w:t>
      </w:r>
      <w:r w:rsidR="005A3422">
        <w:t>adopted m</w:t>
      </w:r>
      <w:r w:rsidR="005E3DCE">
        <w:t>ulticulturalism as a political philosophy</w:t>
      </w:r>
      <w:r w:rsidR="00057E1C">
        <w:t xml:space="preserve"> to meet the resulting demographic plurality. </w:t>
      </w:r>
      <w:r w:rsidR="00685587">
        <w:t>Canad</w:t>
      </w:r>
      <w:r w:rsidR="005A3422">
        <w:t>a</w:t>
      </w:r>
      <w:r w:rsidR="00685587">
        <w:t xml:space="preserve"> </w:t>
      </w:r>
      <w:r w:rsidR="005A3422">
        <w:t xml:space="preserve">is </w:t>
      </w:r>
      <w:r w:rsidR="00685587">
        <w:t xml:space="preserve">the first country in the world to adopt a multicultural policy to encourage minorities to retain their respective cultural heritages rather than to assimilate into </w:t>
      </w:r>
      <w:r w:rsidR="00E74A45">
        <w:t xml:space="preserve">a </w:t>
      </w:r>
      <w:r w:rsidR="00685587">
        <w:t>homogenous culture</w:t>
      </w:r>
      <w:r w:rsidR="00227918">
        <w:t xml:space="preserve"> (Metz, Ng, </w:t>
      </w:r>
      <w:proofErr w:type="spellStart"/>
      <w:r w:rsidR="00227918">
        <w:t>Hoobler</w:t>
      </w:r>
      <w:proofErr w:type="spellEnd"/>
      <w:r w:rsidR="00227918">
        <w:t xml:space="preserve">, Cornelius, </w:t>
      </w:r>
      <w:proofErr w:type="spellStart"/>
      <w:r w:rsidR="00227918">
        <w:t>Hoobler</w:t>
      </w:r>
      <w:proofErr w:type="spellEnd"/>
      <w:r w:rsidR="00227918">
        <w:t>, &amp; Nkomo, 2016</w:t>
      </w:r>
      <w:r w:rsidR="00685587">
        <w:t xml:space="preserve">.  </w:t>
      </w:r>
      <w:r w:rsidR="00057E1C">
        <w:t>The Canadian Multiculturalism Act (1988) passed by Prime Minister Brian Mulroney</w:t>
      </w:r>
      <w:r w:rsidR="00C27CF3">
        <w:t>,</w:t>
      </w:r>
      <w:r w:rsidR="00057E1C">
        <w:t xml:space="preserve"> to not privilege </w:t>
      </w:r>
      <w:proofErr w:type="gramStart"/>
      <w:r w:rsidR="00057E1C">
        <w:t>English-Canadians</w:t>
      </w:r>
      <w:proofErr w:type="gramEnd"/>
      <w:r w:rsidR="00057E1C">
        <w:t xml:space="preserve"> or French-Canadians, accounts for the needs of an increasing ethnocultural diversity brought about through immigration.  </w:t>
      </w:r>
      <w:r w:rsidR="00C27CF3">
        <w:t xml:space="preserve">It aims to minimize barriers related to race, ethnicity, and cultural or religious backgrounds in order to encourage successful integration of immigrants into society and take an active part in Canada’s social, cultural, economic and political life (Citizenship and Immigration Canada 2012).  </w:t>
      </w:r>
      <w:r w:rsidR="00CB505C">
        <w:t xml:space="preserve">In this regard, </w:t>
      </w:r>
      <w:r w:rsidR="00696FC8">
        <w:t xml:space="preserve">the Canadian government reaffirms multiculturalism as a fundamental value of Canada and ensures that all activities are reflective of Canadian diversity (see </w:t>
      </w:r>
      <w:r w:rsidR="00FF0376">
        <w:t>Canada Heritage 2019</w:t>
      </w:r>
      <w:r w:rsidR="00696FC8">
        <w:t xml:space="preserve">).  </w:t>
      </w:r>
    </w:p>
    <w:p w14:paraId="057C21D6" w14:textId="645D9DD5" w:rsidR="00696FC8" w:rsidRPr="009F6AF1" w:rsidRDefault="00B97A99" w:rsidP="000465E6">
      <w:pPr>
        <w:ind w:firstLine="720"/>
      </w:pPr>
      <w:r w:rsidRPr="00AF6886">
        <w:t xml:space="preserve">In </w:t>
      </w:r>
      <w:r w:rsidRPr="00C71409">
        <w:t xml:space="preserve">addition, “representative </w:t>
      </w:r>
      <w:r w:rsidRPr="00AF6886">
        <w:t>bureaucracy”</w:t>
      </w:r>
      <w:r w:rsidRPr="00C71409">
        <w:t xml:space="preserve"> </w:t>
      </w:r>
      <w:r w:rsidR="00C27CF3" w:rsidRPr="001D2507">
        <w:t>--</w:t>
      </w:r>
      <w:r w:rsidRPr="00AF6886">
        <w:t xml:space="preserve"> providing </w:t>
      </w:r>
      <w:r w:rsidRPr="00C71409">
        <w:t xml:space="preserve">minority representation in government and the public service </w:t>
      </w:r>
      <w:r w:rsidR="00C27CF3" w:rsidRPr="001D2507">
        <w:t>--</w:t>
      </w:r>
      <w:r w:rsidRPr="00AF6886">
        <w:t xml:space="preserve"> is crucial to manage </w:t>
      </w:r>
      <w:r w:rsidRPr="00C71409">
        <w:t xml:space="preserve">Canada’s changing demography through legitimizing demographic governments and creating a more responsive public service that meets the representative needs of a diverse population (Turgeon and Gagnon 2013).  A </w:t>
      </w:r>
      <w:r w:rsidRPr="00C71409">
        <w:lastRenderedPageBreak/>
        <w:t>representative government is also an important indicator of a country’s social justice, fairness, political stability, and trust (</w:t>
      </w:r>
      <w:proofErr w:type="spellStart"/>
      <w:r w:rsidRPr="00C71409">
        <w:t>Bloemraad</w:t>
      </w:r>
      <w:proofErr w:type="spellEnd"/>
      <w:r w:rsidRPr="00C71409">
        <w:t xml:space="preserve"> et al. 2008).</w:t>
      </w:r>
      <w:r w:rsidR="00E05EC4">
        <w:t xml:space="preserve">  P</w:t>
      </w:r>
      <w:r w:rsidR="00696FC8">
        <w:t>olic</w:t>
      </w:r>
      <w:r w:rsidR="00C27CF3">
        <w:t>y instruments</w:t>
      </w:r>
      <w:r w:rsidR="00696FC8">
        <w:t xml:space="preserve"> </w:t>
      </w:r>
      <w:r w:rsidR="00E05EC4">
        <w:t xml:space="preserve">such as </w:t>
      </w:r>
      <w:r w:rsidR="00696FC8">
        <w:t xml:space="preserve">the </w:t>
      </w:r>
      <w:r w:rsidR="00313B10">
        <w:t xml:space="preserve">Official Languages Act </w:t>
      </w:r>
      <w:r w:rsidR="00E74A45">
        <w:t xml:space="preserve">(1969) </w:t>
      </w:r>
      <w:r w:rsidR="00313B10">
        <w:t xml:space="preserve">and the </w:t>
      </w:r>
      <w:r w:rsidR="00696FC8">
        <w:t xml:space="preserve">Employment Equity Act </w:t>
      </w:r>
      <w:r w:rsidR="00E74A45">
        <w:t xml:space="preserve">(1986) </w:t>
      </w:r>
      <w:r w:rsidR="00E05EC4">
        <w:t xml:space="preserve">(also referred to as the Legislated Employment Equity Program or LEEP) </w:t>
      </w:r>
      <w:r w:rsidR="00E74A45">
        <w:t>we</w:t>
      </w:r>
      <w:r w:rsidR="00696FC8">
        <w:t xml:space="preserve">re </w:t>
      </w:r>
      <w:r w:rsidR="00E74A45">
        <w:t xml:space="preserve">put in place </w:t>
      </w:r>
      <w:r w:rsidR="00696FC8">
        <w:t xml:space="preserve">to ensure that Canada’s public service is representative of </w:t>
      </w:r>
      <w:r w:rsidR="0064557D">
        <w:t xml:space="preserve">a diverse </w:t>
      </w:r>
      <w:r w:rsidR="00696FC8">
        <w:t>Canadian population (</w:t>
      </w:r>
      <w:proofErr w:type="spellStart"/>
      <w:r w:rsidR="00696FC8">
        <w:t>Agocs</w:t>
      </w:r>
      <w:proofErr w:type="spellEnd"/>
      <w:r w:rsidR="00696FC8">
        <w:t xml:space="preserve"> 2012).</w:t>
      </w:r>
      <w:r w:rsidR="00313B10">
        <w:t xml:space="preserve">  The </w:t>
      </w:r>
      <w:r w:rsidR="005C6262">
        <w:t>Official</w:t>
      </w:r>
      <w:r w:rsidR="00313B10">
        <w:t xml:space="preserve"> Languages Act has remodelled the Canadian </w:t>
      </w:r>
      <w:r w:rsidR="000465E6">
        <w:t>f</w:t>
      </w:r>
      <w:r w:rsidR="00A47B2F">
        <w:t xml:space="preserve">ederal </w:t>
      </w:r>
      <w:r w:rsidR="00313B10">
        <w:t>civil service as a bilingual</w:t>
      </w:r>
      <w:r w:rsidR="00A47B2F">
        <w:t xml:space="preserve"> (English/French)</w:t>
      </w:r>
      <w:r w:rsidR="00313B10">
        <w:t xml:space="preserve"> institution through designating official bilingual geographic regions and civil service positions.</w:t>
      </w:r>
      <w:r w:rsidR="005C6262">
        <w:t xml:space="preserve">  LEEP has </w:t>
      </w:r>
      <w:r w:rsidR="00C27CF3">
        <w:t xml:space="preserve">encouraged </w:t>
      </w:r>
      <w:r w:rsidR="005C6262">
        <w:t xml:space="preserve">the </w:t>
      </w:r>
      <w:r w:rsidR="00E74A45">
        <w:t>f</w:t>
      </w:r>
      <w:r w:rsidR="005C6262">
        <w:t xml:space="preserve">ederal </w:t>
      </w:r>
      <w:r w:rsidR="001B4550">
        <w:t xml:space="preserve">public service </w:t>
      </w:r>
      <w:r w:rsidR="005C6262">
        <w:t xml:space="preserve">and </w:t>
      </w:r>
      <w:r w:rsidR="00E74A45">
        <w:t xml:space="preserve">federally regulated </w:t>
      </w:r>
      <w:r w:rsidR="005C6262">
        <w:t xml:space="preserve">Canadian employers to </w:t>
      </w:r>
      <w:r w:rsidR="00C27CF3">
        <w:t xml:space="preserve">increase </w:t>
      </w:r>
      <w:r w:rsidR="008F4C4A">
        <w:t xml:space="preserve">the </w:t>
      </w:r>
      <w:r w:rsidR="005C6262">
        <w:t xml:space="preserve">representation of </w:t>
      </w:r>
      <w:r w:rsidR="00C27CF3">
        <w:t xml:space="preserve">diverse </w:t>
      </w:r>
      <w:r w:rsidR="00274A0A">
        <w:t>groups (</w:t>
      </w:r>
      <w:r w:rsidR="00C27CF3">
        <w:t>including</w:t>
      </w:r>
      <w:r w:rsidR="00274A0A">
        <w:t xml:space="preserve"> Aboriginal peoples, persons with disabilities, visible </w:t>
      </w:r>
      <w:r w:rsidR="005C6262">
        <w:t>minorities</w:t>
      </w:r>
      <w:r w:rsidR="00274A0A">
        <w:t>, and women)</w:t>
      </w:r>
      <w:r w:rsidR="005C6262">
        <w:t xml:space="preserve"> in their</w:t>
      </w:r>
      <w:r w:rsidR="00E74A45">
        <w:t xml:space="preserve"> workforces</w:t>
      </w:r>
      <w:r w:rsidR="005C6262">
        <w:t xml:space="preserve">. </w:t>
      </w:r>
      <w:r w:rsidR="000465E6">
        <w:t xml:space="preserve">Racialized individuals (including </w:t>
      </w:r>
      <w:r w:rsidR="00C27CF3">
        <w:t xml:space="preserve">non-White </w:t>
      </w:r>
      <w:r w:rsidR="000465E6">
        <w:t>immigrants) are referred to as “v</w:t>
      </w:r>
      <w:r w:rsidR="00F82E0B">
        <w:t>isible minorities</w:t>
      </w:r>
      <w:r w:rsidR="000465E6">
        <w:t>”</w:t>
      </w:r>
      <w:r w:rsidR="00F82E0B">
        <w:t xml:space="preserve"> </w:t>
      </w:r>
      <w:r w:rsidR="000465E6">
        <w:t>in Canada.</w:t>
      </w:r>
      <w:r w:rsidR="00F82E0B">
        <w:t xml:space="preserve"> </w:t>
      </w:r>
      <w:r w:rsidR="000465E6">
        <w:t>F</w:t>
      </w:r>
      <w:r w:rsidR="00F82E0B">
        <w:t xml:space="preserve">or consistency with </w:t>
      </w:r>
      <w:r w:rsidR="000465E6">
        <w:t xml:space="preserve">government </w:t>
      </w:r>
      <w:r w:rsidR="000465E6" w:rsidRPr="009F6AF1">
        <w:t>reporting</w:t>
      </w:r>
      <w:r w:rsidR="000465E6" w:rsidRPr="009F6AF1">
        <w:rPr>
          <w:rStyle w:val="FootnoteReference"/>
        </w:rPr>
        <w:footnoteReference w:id="1"/>
      </w:r>
      <w:r w:rsidR="00F82E0B" w:rsidRPr="009F6AF1">
        <w:t xml:space="preserve">, </w:t>
      </w:r>
      <w:r w:rsidR="000465E6" w:rsidRPr="009F6AF1">
        <w:t xml:space="preserve">we will use </w:t>
      </w:r>
      <w:r w:rsidR="00F82E0B" w:rsidRPr="009F6AF1">
        <w:t>visible minorities in this</w:t>
      </w:r>
      <w:r w:rsidR="00E05EC4" w:rsidRPr="009F6AF1">
        <w:t xml:space="preserve"> </w:t>
      </w:r>
      <w:r w:rsidR="007073E4" w:rsidRPr="009F6AF1">
        <w:t>chapter.</w:t>
      </w:r>
    </w:p>
    <w:p w14:paraId="05343AE5" w14:textId="57408EBC" w:rsidR="00E56121" w:rsidRDefault="00F90AF2">
      <w:pPr>
        <w:ind w:firstLine="720"/>
      </w:pPr>
      <w:r w:rsidRPr="009F6AF1">
        <w:t>The effectiveness of</w:t>
      </w:r>
      <w:r w:rsidR="00973BAB" w:rsidRPr="009F6AF1">
        <w:t xml:space="preserve"> </w:t>
      </w:r>
      <w:r w:rsidRPr="009F6AF1">
        <w:t>LEEP has been questioned as the impact on representative bureaucracy is not clear.</w:t>
      </w:r>
      <w:r w:rsidR="00E56121" w:rsidRPr="009F6AF1">
        <w:t xml:space="preserve">  Persons</w:t>
      </w:r>
      <w:r w:rsidR="00E56121" w:rsidRPr="008950E7">
        <w:t xml:space="preserve"> with disabilities, </w:t>
      </w:r>
      <w:r w:rsidR="00E56121">
        <w:t>Aboriginals</w:t>
      </w:r>
      <w:r w:rsidR="00E56121" w:rsidRPr="008950E7">
        <w:t>, and women</w:t>
      </w:r>
      <w:r w:rsidR="00171F14">
        <w:t xml:space="preserve"> continue to be</w:t>
      </w:r>
      <w:r w:rsidR="00E56121" w:rsidRPr="008950E7">
        <w:t xml:space="preserve"> under</w:t>
      </w:r>
      <w:r w:rsidR="00171F14">
        <w:t>-</w:t>
      </w:r>
      <w:r w:rsidR="00E56121" w:rsidRPr="008950E7">
        <w:t>represent</w:t>
      </w:r>
      <w:r w:rsidR="000029A9">
        <w:t>ed</w:t>
      </w:r>
      <w:r w:rsidR="00E56121" w:rsidRPr="008950E7">
        <w:t xml:space="preserve"> when compared to their availabilit</w:t>
      </w:r>
      <w:r w:rsidR="0064557D">
        <w:t xml:space="preserve">y rates </w:t>
      </w:r>
      <w:r w:rsidR="00E56121" w:rsidRPr="008950E7">
        <w:t>in the workforce (</w:t>
      </w:r>
      <w:r w:rsidR="00C27CF3">
        <w:t xml:space="preserve">EEA Annual Report </w:t>
      </w:r>
      <w:r w:rsidR="00036FE0">
        <w:t>2018</w:t>
      </w:r>
      <w:r w:rsidR="00E56121" w:rsidRPr="008950E7">
        <w:t>).</w:t>
      </w:r>
      <w:r w:rsidR="00E56121">
        <w:t xml:space="preserve">  Only Aboriginal Canadians exceed </w:t>
      </w:r>
      <w:r w:rsidR="00E532A6">
        <w:t xml:space="preserve">their </w:t>
      </w:r>
      <w:r w:rsidR="00E56121">
        <w:t xml:space="preserve">representation in the public sector compared to </w:t>
      </w:r>
      <w:r w:rsidR="00E532A6">
        <w:t xml:space="preserve">their </w:t>
      </w:r>
      <w:r w:rsidR="00E56121">
        <w:t>availability</w:t>
      </w:r>
      <w:r w:rsidR="00E532A6">
        <w:t xml:space="preserve"> rate</w:t>
      </w:r>
      <w:r w:rsidR="00E56121">
        <w:t xml:space="preserve"> in the workforce; however, they are relegated to the lowest levels of government (</w:t>
      </w:r>
      <w:proofErr w:type="spellStart"/>
      <w:r w:rsidR="00E56121">
        <w:t>Agocs</w:t>
      </w:r>
      <w:proofErr w:type="spellEnd"/>
      <w:r w:rsidR="009D1619">
        <w:t>,</w:t>
      </w:r>
      <w:r w:rsidR="00E56121">
        <w:t xml:space="preserve"> 2012).  Visible minorities are also found to be less motivated to </w:t>
      </w:r>
      <w:r w:rsidR="00E532A6">
        <w:t xml:space="preserve">join </w:t>
      </w:r>
      <w:r w:rsidR="00E56121">
        <w:t>the public service as compared to majority groups</w:t>
      </w:r>
      <w:r w:rsidR="00C27CF3">
        <w:t xml:space="preserve"> (Ng </w:t>
      </w:r>
      <w:r w:rsidR="00477B74">
        <w:t>and</w:t>
      </w:r>
      <w:r w:rsidR="00C27CF3">
        <w:t xml:space="preserve"> Gossett, 2013; Ng </w:t>
      </w:r>
      <w:r w:rsidR="00477B74">
        <w:t>and</w:t>
      </w:r>
      <w:r w:rsidR="00C27CF3">
        <w:t xml:space="preserve"> Sears, 2015)</w:t>
      </w:r>
      <w:r w:rsidR="00E56121">
        <w:t>.  The negative perception of government jobs due to</w:t>
      </w:r>
      <w:r w:rsidR="002720E4">
        <w:t xml:space="preserve"> financial considerations</w:t>
      </w:r>
      <w:r w:rsidR="00E56121">
        <w:t xml:space="preserve"> (e.g., income), career reasons (advancement, status, power, and prestige), or personal fulfillment are contributing factors (Clark and </w:t>
      </w:r>
      <w:proofErr w:type="spellStart"/>
      <w:r w:rsidR="00E56121">
        <w:t>Postel</w:t>
      </w:r>
      <w:proofErr w:type="spellEnd"/>
      <w:r w:rsidR="00E56121">
        <w:t>-Vinay 2009; Ng and Sears 2015</w:t>
      </w:r>
      <w:r w:rsidR="00F528C7">
        <w:t>; Ng and McGinnis Johnson, in press</w:t>
      </w:r>
      <w:r w:rsidR="00E56121">
        <w:t xml:space="preserve">).  </w:t>
      </w:r>
      <w:r w:rsidR="00F528C7">
        <w:t xml:space="preserve">Overall, </w:t>
      </w:r>
      <w:r w:rsidR="008F5AC8">
        <w:t xml:space="preserve">as a </w:t>
      </w:r>
      <w:r w:rsidR="00E56121">
        <w:t>public policy instrument</w:t>
      </w:r>
      <w:r w:rsidR="008F5AC8">
        <w:t xml:space="preserve">, </w:t>
      </w:r>
      <w:r w:rsidR="00E56121">
        <w:t>LEEP</w:t>
      </w:r>
      <w:r w:rsidR="008F5AC8">
        <w:t xml:space="preserve"> has helped raise the</w:t>
      </w:r>
      <w:r w:rsidR="00E56121">
        <w:t xml:space="preserve"> representation of </w:t>
      </w:r>
      <w:r w:rsidR="00F528C7">
        <w:t xml:space="preserve">visible </w:t>
      </w:r>
      <w:r w:rsidR="00E56121">
        <w:t>minorities</w:t>
      </w:r>
      <w:r w:rsidR="008F5AC8">
        <w:t xml:space="preserve"> in public service (see Table 1.0)</w:t>
      </w:r>
      <w:r w:rsidR="00F528C7">
        <w:t>.</w:t>
      </w:r>
    </w:p>
    <w:p w14:paraId="3F32833F" w14:textId="0104AB55" w:rsidR="00CF217D" w:rsidRDefault="00F00E83" w:rsidP="009F2D23">
      <w:pPr>
        <w:ind w:firstLine="720"/>
      </w:pPr>
      <w:r>
        <w:t xml:space="preserve">The </w:t>
      </w:r>
      <w:r w:rsidR="009F2D23">
        <w:t xml:space="preserve">purpose of this chapter is to examine how Canada achieves representative bureaucracy through the use of LEEP as </w:t>
      </w:r>
      <w:r w:rsidR="00D517DF">
        <w:t xml:space="preserve">a </w:t>
      </w:r>
      <w:r w:rsidR="009F2D23">
        <w:t>multicultural policy instrument.</w:t>
      </w:r>
      <w:r w:rsidR="004505B9">
        <w:t xml:space="preserve">  In the first section of this chapter, we </w:t>
      </w:r>
      <w:r w:rsidR="00B112CB">
        <w:t xml:space="preserve">provide a </w:t>
      </w:r>
      <w:r w:rsidR="00B21F67">
        <w:t xml:space="preserve">brief </w:t>
      </w:r>
      <w:r w:rsidR="00B112CB">
        <w:t xml:space="preserve">discussion </w:t>
      </w:r>
      <w:r w:rsidR="00EF12FD">
        <w:t xml:space="preserve">of </w:t>
      </w:r>
      <w:r w:rsidR="00BF56B9">
        <w:t xml:space="preserve">representative democracy, its importance and relevance, and public service attraction among </w:t>
      </w:r>
      <w:r w:rsidR="00790900">
        <w:t xml:space="preserve">visible </w:t>
      </w:r>
      <w:r w:rsidR="00BF56B9">
        <w:t xml:space="preserve">minorities in Canada.  Next, we look at </w:t>
      </w:r>
      <w:r w:rsidR="00BF56B9">
        <w:lastRenderedPageBreak/>
        <w:t>Canad</w:t>
      </w:r>
      <w:r w:rsidR="00EF12FD">
        <w:t>ian</w:t>
      </w:r>
      <w:r w:rsidR="00BF56B9">
        <w:t xml:space="preserve"> </w:t>
      </w:r>
      <w:r w:rsidR="00CF217D">
        <w:t>m</w:t>
      </w:r>
      <w:r w:rsidR="00BF56B9">
        <w:t>ulticultural</w:t>
      </w:r>
      <w:r w:rsidR="00EF12FD">
        <w:t xml:space="preserve">ism </w:t>
      </w:r>
      <w:r w:rsidR="00BF56B9">
        <w:t>as</w:t>
      </w:r>
      <w:r w:rsidR="00EF12FD">
        <w:t xml:space="preserve"> a</w:t>
      </w:r>
      <w:r w:rsidR="00BF56B9">
        <w:t xml:space="preserve"> </w:t>
      </w:r>
      <w:r w:rsidR="00EF12FD">
        <w:t>national integration policy</w:t>
      </w:r>
      <w:r w:rsidR="00BF56B9">
        <w:t xml:space="preserve">.  We follow this by </w:t>
      </w:r>
      <w:r w:rsidR="00790900">
        <w:t xml:space="preserve">examining </w:t>
      </w:r>
      <w:r w:rsidR="00EF12FD">
        <w:t>LEEP as a means to</w:t>
      </w:r>
      <w:r w:rsidR="00C92F7C">
        <w:t xml:space="preserve"> achieving</w:t>
      </w:r>
      <w:r w:rsidR="00EF12FD">
        <w:t xml:space="preserve"> representative bureaucracy</w:t>
      </w:r>
      <w:r w:rsidR="00D517DF">
        <w:t xml:space="preserve"> </w:t>
      </w:r>
      <w:r w:rsidR="00516991">
        <w:t xml:space="preserve">for visible minorities as they </w:t>
      </w:r>
      <w:r w:rsidR="00D517DF">
        <w:t xml:space="preserve">are </w:t>
      </w:r>
      <w:r w:rsidR="00516991">
        <w:t>influenced by Canadian immigration</w:t>
      </w:r>
      <w:r w:rsidR="00EF12FD">
        <w:t xml:space="preserve">.  </w:t>
      </w:r>
      <w:r w:rsidR="00790900">
        <w:t>W</w:t>
      </w:r>
      <w:r w:rsidR="00EF12FD">
        <w:t xml:space="preserve">e </w:t>
      </w:r>
      <w:r w:rsidR="005B3C0C">
        <w:t xml:space="preserve">also </w:t>
      </w:r>
      <w:r w:rsidR="00456C73">
        <w:t>examine</w:t>
      </w:r>
      <w:r w:rsidR="00EF12FD">
        <w:t xml:space="preserve"> </w:t>
      </w:r>
      <w:r w:rsidR="000C390E">
        <w:t>government report</w:t>
      </w:r>
      <w:r w:rsidR="0070288A">
        <w:t>s</w:t>
      </w:r>
      <w:r w:rsidR="000C390E">
        <w:t xml:space="preserve"> </w:t>
      </w:r>
      <w:r w:rsidR="00EF12FD">
        <w:t>and national</w:t>
      </w:r>
      <w:r w:rsidR="0070288A">
        <w:t xml:space="preserve"> labour</w:t>
      </w:r>
      <w:r w:rsidR="00EF12FD">
        <w:t xml:space="preserve"> surveys to </w:t>
      </w:r>
      <w:r w:rsidR="00CF217D">
        <w:t xml:space="preserve">examine </w:t>
      </w:r>
      <w:r w:rsidR="00EF12FD">
        <w:t xml:space="preserve">the progress </w:t>
      </w:r>
      <w:r>
        <w:t xml:space="preserve">of </w:t>
      </w:r>
      <w:r w:rsidR="00EF12FD">
        <w:t>representative bureaucracy</w:t>
      </w:r>
      <w:r w:rsidR="00D517DF">
        <w:t xml:space="preserve"> for visible minorities</w:t>
      </w:r>
      <w:r w:rsidR="00EF12FD">
        <w:t xml:space="preserve">.  </w:t>
      </w:r>
      <w:r w:rsidR="00FC31A0">
        <w:t>W</w:t>
      </w:r>
      <w:r w:rsidR="00EF12FD">
        <w:t>e</w:t>
      </w:r>
      <w:r w:rsidR="00BF56B9">
        <w:t xml:space="preserve"> conclude </w:t>
      </w:r>
      <w:r w:rsidR="00EF12FD">
        <w:t>with</w:t>
      </w:r>
      <w:r w:rsidR="007932FC">
        <w:t xml:space="preserve"> </w:t>
      </w:r>
      <w:r w:rsidR="009F6AF1">
        <w:t xml:space="preserve">a discussion on the future </w:t>
      </w:r>
      <w:r w:rsidR="00C41152">
        <w:t>outlook</w:t>
      </w:r>
      <w:r w:rsidR="00CF217D">
        <w:t xml:space="preserve"> for </w:t>
      </w:r>
      <w:r w:rsidR="00C41152">
        <w:t>representative bureaucracy in Canada.</w:t>
      </w:r>
    </w:p>
    <w:p w14:paraId="0ADF5F31" w14:textId="77777777" w:rsidR="00D517DF" w:rsidRDefault="00D517DF" w:rsidP="009F2D23">
      <w:pPr>
        <w:ind w:firstLine="720"/>
      </w:pPr>
    </w:p>
    <w:p w14:paraId="14621252" w14:textId="0A695892" w:rsidR="000D57D4" w:rsidRDefault="00C41152" w:rsidP="00FA7BB1">
      <w:pPr>
        <w:jc w:val="center"/>
      </w:pPr>
      <w:r>
        <w:rPr>
          <w:b/>
          <w:bCs/>
        </w:rPr>
        <w:t>REPRESENTATIVE BUREAUCRACY AND CANADA</w:t>
      </w:r>
    </w:p>
    <w:p w14:paraId="1B62EAFA" w14:textId="60930469" w:rsidR="005B3E99" w:rsidRDefault="005C6262" w:rsidP="000F7688">
      <w:r>
        <w:t xml:space="preserve">Coined by Kingsley (1944), representative </w:t>
      </w:r>
      <w:r w:rsidR="0005525E">
        <w:t xml:space="preserve">bureaucracy </w:t>
      </w:r>
      <w:r w:rsidR="00FA7BB1">
        <w:t>is understood as</w:t>
      </w:r>
      <w:r w:rsidR="008F4C4A">
        <w:t xml:space="preserve"> a</w:t>
      </w:r>
      <w:r w:rsidR="00FA7BB1">
        <w:t xml:space="preserve"> bureaucracy that is representative of the population, including disadvantaged and minority groups (Groeneveld and Van de </w:t>
      </w:r>
      <w:proofErr w:type="spellStart"/>
      <w:r w:rsidR="00FA7BB1">
        <w:t>Walle</w:t>
      </w:r>
      <w:proofErr w:type="spellEnd"/>
      <w:r w:rsidR="00FA7BB1">
        <w:t xml:space="preserve"> 2010).  This is worthwhile, as theory understands the demographic makeup of a country’s public sector influence</w:t>
      </w:r>
      <w:r w:rsidR="008D2622">
        <w:t>s</w:t>
      </w:r>
      <w:r w:rsidR="00FA7BB1">
        <w:t xml:space="preserve"> administrative decision making and policy outcomes.  </w:t>
      </w:r>
      <w:r w:rsidR="008C1B56">
        <w:t>Specifically, p</w:t>
      </w:r>
      <w:r w:rsidR="004B5802">
        <w:t xml:space="preserve">ublic servants </w:t>
      </w:r>
      <w:r w:rsidR="008C1B56">
        <w:t xml:space="preserve">are believed to share, and therefore act on, values with those who share the same social demographic background </w:t>
      </w:r>
      <w:r w:rsidR="00436352">
        <w:t>as</w:t>
      </w:r>
      <w:r w:rsidR="00E1384F">
        <w:t xml:space="preserve"> </w:t>
      </w:r>
      <w:r w:rsidR="00436352">
        <w:t xml:space="preserve">themselves </w:t>
      </w:r>
      <w:r w:rsidR="008C1B56">
        <w:t>(Meier and Morton</w:t>
      </w:r>
      <w:r w:rsidR="009D1619">
        <w:t>,</w:t>
      </w:r>
      <w:r w:rsidR="008C1B56">
        <w:t xml:space="preserve"> 2015).  </w:t>
      </w:r>
      <w:r w:rsidR="00F2016E">
        <w:t xml:space="preserve">Representative democracy </w:t>
      </w:r>
      <w:r w:rsidR="00436352">
        <w:t xml:space="preserve">thus </w:t>
      </w:r>
      <w:r w:rsidR="00F2016E">
        <w:t>function</w:t>
      </w:r>
      <w:r w:rsidR="00436352">
        <w:t>s</w:t>
      </w:r>
      <w:r w:rsidR="00F2016E">
        <w:t xml:space="preserve"> through two avenues: active and passive representation (</w:t>
      </w:r>
      <w:r w:rsidR="001A2E55">
        <w:t>Sowa and Selden 2003</w:t>
      </w:r>
      <w:r w:rsidR="00F2016E">
        <w:t xml:space="preserve">).  Passive representation refers to the symbolic impact </w:t>
      </w:r>
      <w:r w:rsidR="008D2622">
        <w:t xml:space="preserve">that the </w:t>
      </w:r>
      <w:r w:rsidR="00F2016E">
        <w:t xml:space="preserve">representation of a populations’ </w:t>
      </w:r>
      <w:r w:rsidR="003C7D87">
        <w:t xml:space="preserve">demographic </w:t>
      </w:r>
      <w:r w:rsidR="00F2016E">
        <w:t>diversity has on bureaucratic trust.  Active representation refers to instances where public servants make decisions based on values and beliefs which reflect shared social demographic characteristics with minority groups (Selden</w:t>
      </w:r>
      <w:r w:rsidR="006D6E62">
        <w:t xml:space="preserve"> et al.</w:t>
      </w:r>
      <w:r w:rsidR="00F2016E">
        <w:t>1998).  In unison, both mechanisms result in a bureaucracy that is more</w:t>
      </w:r>
      <w:r w:rsidR="008C1B56">
        <w:t xml:space="preserve"> responsive to the diverse needs and preferences of the publi</w:t>
      </w:r>
      <w:r w:rsidR="00135384">
        <w:t xml:space="preserve">c, therefore contributing to the performance and legitimacy of governments (Turgeon and Gagnon 2013; also </w:t>
      </w:r>
      <w:r w:rsidR="00ED2D05">
        <w:t xml:space="preserve">see </w:t>
      </w:r>
      <w:r w:rsidR="00135384">
        <w:t>Selden</w:t>
      </w:r>
      <w:r w:rsidR="007655A8">
        <w:t xml:space="preserve"> et al.</w:t>
      </w:r>
      <w:r w:rsidR="00135384">
        <w:t xml:space="preserve"> 1998)</w:t>
      </w:r>
      <w:r w:rsidR="00F2016E">
        <w:t xml:space="preserve">.  </w:t>
      </w:r>
      <w:r w:rsidR="00135384">
        <w:t xml:space="preserve">This </w:t>
      </w:r>
      <w:r w:rsidR="00ED2D05">
        <w:t xml:space="preserve">in turn </w:t>
      </w:r>
      <w:r w:rsidR="00135384">
        <w:t xml:space="preserve">positively impacts a country’s </w:t>
      </w:r>
      <w:r w:rsidR="003E5E61">
        <w:t xml:space="preserve">overall </w:t>
      </w:r>
      <w:r w:rsidR="00135384">
        <w:t>social justice, fairness</w:t>
      </w:r>
      <w:r w:rsidR="00ED2D05">
        <w:t>,</w:t>
      </w:r>
      <w:r w:rsidR="00135384">
        <w:t xml:space="preserve"> </w:t>
      </w:r>
      <w:r w:rsidR="000F7688">
        <w:t xml:space="preserve">and political stability </w:t>
      </w:r>
      <w:r w:rsidR="00135384">
        <w:t>(</w:t>
      </w:r>
      <w:proofErr w:type="spellStart"/>
      <w:r w:rsidR="00135384">
        <w:t>Boemraad</w:t>
      </w:r>
      <w:proofErr w:type="spellEnd"/>
      <w:r w:rsidR="006D6E62">
        <w:t xml:space="preserve"> et al. </w:t>
      </w:r>
      <w:r w:rsidR="00135384">
        <w:t>2008)</w:t>
      </w:r>
      <w:r w:rsidR="00F2016E">
        <w:t xml:space="preserve">.  </w:t>
      </w:r>
      <w:r w:rsidR="00ED2D05">
        <w:t>R</w:t>
      </w:r>
      <w:r w:rsidR="00F2016E">
        <w:t xml:space="preserve">epresentative bureaucracy has received increasing attention in </w:t>
      </w:r>
      <w:r w:rsidR="00ED2D05">
        <w:t xml:space="preserve">research </w:t>
      </w:r>
      <w:r w:rsidR="00F2016E">
        <w:t xml:space="preserve">and practice </w:t>
      </w:r>
      <w:r w:rsidR="00E84F23">
        <w:t>to</w:t>
      </w:r>
      <w:r w:rsidR="00F2016E">
        <w:t xml:space="preserve"> improve public service performance and a means to equity (see Gagnon</w:t>
      </w:r>
      <w:r w:rsidR="006D6E62">
        <w:t xml:space="preserve"> et al.</w:t>
      </w:r>
      <w:r w:rsidR="00F2016E">
        <w:t xml:space="preserve"> 2006; Turgeon and Gagnon 2013).</w:t>
      </w:r>
    </w:p>
    <w:p w14:paraId="0D873DAE" w14:textId="4134C501" w:rsidR="009A5CEC" w:rsidRDefault="002D2509" w:rsidP="00A91E12">
      <w:r>
        <w:tab/>
        <w:t xml:space="preserve">Despite the importance of representative </w:t>
      </w:r>
      <w:r w:rsidR="001A2E55">
        <w:t>bureaucracy</w:t>
      </w:r>
      <w:r>
        <w:t xml:space="preserve"> on diversity and representative public policy, little</w:t>
      </w:r>
      <w:r w:rsidR="00562762">
        <w:t xml:space="preserve"> is</w:t>
      </w:r>
      <w:r>
        <w:t xml:space="preserve"> written on Canadian representative</w:t>
      </w:r>
      <w:r w:rsidR="00ED2D05">
        <w:t xml:space="preserve"> bureaucracy</w:t>
      </w:r>
      <w:r>
        <w:t>.</w:t>
      </w:r>
      <w:r w:rsidR="00562762">
        <w:t xml:space="preserve">  </w:t>
      </w:r>
      <w:r w:rsidR="008A2356">
        <w:t>M</w:t>
      </w:r>
      <w:r w:rsidR="00E84F23">
        <w:t xml:space="preserve">uch of the existing literature has focused on </w:t>
      </w:r>
      <w:r w:rsidR="00E1384F">
        <w:t xml:space="preserve">the </w:t>
      </w:r>
      <w:r w:rsidR="00E84F23">
        <w:t>linguistic representation of ethnic and linguistic minorities and its impact on national unity.</w:t>
      </w:r>
      <w:r w:rsidR="0039190D">
        <w:t xml:space="preserve">  </w:t>
      </w:r>
      <w:r w:rsidR="0072272B">
        <w:t xml:space="preserve">This </w:t>
      </w:r>
      <w:r w:rsidR="00973DD7">
        <w:t xml:space="preserve">line of </w:t>
      </w:r>
      <w:r w:rsidR="004F564E">
        <w:t xml:space="preserve">inquiry </w:t>
      </w:r>
      <w:r w:rsidR="0039190D">
        <w:t>has focused on French-speaking Canadians who were underrepresented in the federal public service (</w:t>
      </w:r>
      <w:r w:rsidR="009648EA">
        <w:t>Turgeon and Gagnon 2013; see also</w:t>
      </w:r>
      <w:r w:rsidR="0039190D">
        <w:t xml:space="preserve"> Kernaghan 1978</w:t>
      </w:r>
      <w:r w:rsidR="006D6E62">
        <w:t>;</w:t>
      </w:r>
      <w:r w:rsidR="0039190D">
        <w:t xml:space="preserve"> Rich 1975</w:t>
      </w:r>
      <w:r w:rsidR="009648EA">
        <w:t>;</w:t>
      </w:r>
      <w:r w:rsidR="0039190D">
        <w:t xml:space="preserve"> Wilson and Mullins 1978).</w:t>
      </w:r>
      <w:r w:rsidR="009648EA">
        <w:t xml:space="preserve">  Nevertheless, the scope of Canadian </w:t>
      </w:r>
      <w:r w:rsidR="004F4D6C">
        <w:lastRenderedPageBreak/>
        <w:t xml:space="preserve">representative bureaucracy </w:t>
      </w:r>
      <w:r w:rsidR="0027537E">
        <w:t>has</w:t>
      </w:r>
      <w:r w:rsidR="009648EA">
        <w:t xml:space="preserve"> broadened</w:t>
      </w:r>
      <w:r w:rsidR="004F4D6C">
        <w:t xml:space="preserve"> to encompass visible minorities</w:t>
      </w:r>
      <w:r w:rsidR="009648EA">
        <w:t xml:space="preserve">.  </w:t>
      </w:r>
      <w:r w:rsidR="0027537E">
        <w:t xml:space="preserve">Bouchard and Carroll (2002) argue visible minorities benefit </w:t>
      </w:r>
      <w:r w:rsidR="00107151">
        <w:t xml:space="preserve">when they have a stronger </w:t>
      </w:r>
      <w:r w:rsidR="00400088">
        <w:t>presence in government</w:t>
      </w:r>
      <w:r w:rsidR="00107151">
        <w:t xml:space="preserve"> (e.g., </w:t>
      </w:r>
      <w:r w:rsidR="004A1842">
        <w:t xml:space="preserve">advocating for </w:t>
      </w:r>
      <w:r w:rsidR="00107151">
        <w:t>changes in immigration admissions)</w:t>
      </w:r>
      <w:r w:rsidR="00A731F3">
        <w:t xml:space="preserve">.  </w:t>
      </w:r>
      <w:r w:rsidR="008A2356">
        <w:t xml:space="preserve">Likewise, </w:t>
      </w:r>
      <w:proofErr w:type="spellStart"/>
      <w:r w:rsidR="009648EA">
        <w:t>Ogmundson</w:t>
      </w:r>
      <w:proofErr w:type="spellEnd"/>
      <w:r w:rsidR="009648EA">
        <w:t xml:space="preserve"> (2005)</w:t>
      </w:r>
      <w:r w:rsidR="0072272B">
        <w:t xml:space="preserve"> finds</w:t>
      </w:r>
      <w:r w:rsidR="009648EA">
        <w:t xml:space="preserve"> the presence of women in government lead</w:t>
      </w:r>
      <w:r w:rsidR="00E612B9">
        <w:t>s</w:t>
      </w:r>
      <w:r w:rsidR="009648EA">
        <w:t xml:space="preserve"> to greater concern for women issues </w:t>
      </w:r>
      <w:r w:rsidR="0072272B">
        <w:t xml:space="preserve">such as </w:t>
      </w:r>
      <w:r w:rsidR="00355F8C">
        <w:t xml:space="preserve">equal </w:t>
      </w:r>
      <w:r w:rsidR="009648EA">
        <w:t xml:space="preserve">job opportunities, child support, and domestic abuse.  Timpson (2006) </w:t>
      </w:r>
      <w:r w:rsidR="008A2356">
        <w:t xml:space="preserve">also </w:t>
      </w:r>
      <w:r w:rsidR="00BA2863">
        <w:t xml:space="preserve">reports </w:t>
      </w:r>
      <w:r w:rsidR="009648EA">
        <w:t>how the Government of Nunavut</w:t>
      </w:r>
      <w:r w:rsidR="0072272B">
        <w:t xml:space="preserve">, </w:t>
      </w:r>
      <w:r w:rsidR="009648EA">
        <w:t>a Canadian territory</w:t>
      </w:r>
      <w:r w:rsidR="0072272B">
        <w:t xml:space="preserve">, monitors </w:t>
      </w:r>
      <w:r w:rsidR="009648EA">
        <w:t xml:space="preserve">the </w:t>
      </w:r>
      <w:r w:rsidR="0072272B">
        <w:t xml:space="preserve">makeup </w:t>
      </w:r>
      <w:r w:rsidR="009648EA">
        <w:t xml:space="preserve">of its public service to ensure the preservation of its indigenous culture, language, and composition.  </w:t>
      </w:r>
    </w:p>
    <w:p w14:paraId="1E582FB3" w14:textId="19ABE434" w:rsidR="007C54D2" w:rsidRDefault="00743DD7" w:rsidP="009A5CEC">
      <w:pPr>
        <w:ind w:firstLine="720"/>
      </w:pPr>
      <w:r>
        <w:t>R</w:t>
      </w:r>
      <w:r w:rsidR="009648EA">
        <w:t>ecent</w:t>
      </w:r>
      <w:r w:rsidR="00D15470">
        <w:t xml:space="preserve"> </w:t>
      </w:r>
      <w:r w:rsidR="00137B4B">
        <w:t>studies f</w:t>
      </w:r>
      <w:r w:rsidR="00043456">
        <w:t xml:space="preserve">ind visible minorities </w:t>
      </w:r>
      <w:r w:rsidR="0072272B">
        <w:t xml:space="preserve">are </w:t>
      </w:r>
      <w:r>
        <w:t xml:space="preserve">less </w:t>
      </w:r>
      <w:r w:rsidR="00043456">
        <w:t xml:space="preserve">attracted to public service.  </w:t>
      </w:r>
      <w:r w:rsidR="007C54D2">
        <w:t xml:space="preserve">A study by Ng and Sears (2015) supports these findings.  They examine differences in Canadian LEEP designated groups and LGBT populations and their attraction to the public sector.  They also explore the work values which predict public service attraction and whether demographics differed in those work values.  Based on a survey of graduating Canadian post-secondary students, they found that women, Aboriginal peoples, and persons with disabilities report higher levels of public service attraction than visible minorities.  Specifically, visible minority group members report a preference for private-sector careers and espouse two key work values that predict private sector attraction: (1) working for an employer that is a leader in the field and (2) opportunities for advancement.  Although visible minorities report key work values associated with the public sector (e.g., job security, employment benefits, and a commitment to social responsibility and diversity), recent immigrants who are visible minorities also express socioeconomic mobility (e.g., advancement opportunities) as a career priority.  This resulting desire may take precedence over traditional values </w:t>
      </w:r>
      <w:r w:rsidR="00A2655E">
        <w:t xml:space="preserve">(e.g., policy setting, social justice, service to the public) </w:t>
      </w:r>
      <w:r w:rsidR="007C54D2">
        <w:t xml:space="preserve">that predict public service attraction.  </w:t>
      </w:r>
    </w:p>
    <w:p w14:paraId="1E65FB74" w14:textId="22DFA6A7" w:rsidR="00E612B9" w:rsidRDefault="007C54D2">
      <w:pPr>
        <w:ind w:firstLine="720"/>
      </w:pPr>
      <w:r>
        <w:t xml:space="preserve">In another study, </w:t>
      </w:r>
      <w:r w:rsidR="00043456">
        <w:t xml:space="preserve">Ng and </w:t>
      </w:r>
      <w:r w:rsidR="00291301">
        <w:t xml:space="preserve">Gossett (2013) </w:t>
      </w:r>
      <w:r w:rsidR="00C92F7C">
        <w:t xml:space="preserve">examine </w:t>
      </w:r>
      <w:r w:rsidR="00743DD7">
        <w:t xml:space="preserve">the </w:t>
      </w:r>
      <w:r>
        <w:t>fit between Millennials (i.e., those born between 1980-1995)</w:t>
      </w:r>
      <w:r w:rsidR="00743DD7">
        <w:t xml:space="preserve"> and </w:t>
      </w:r>
      <w:r w:rsidR="00291301">
        <w:t>public service</w:t>
      </w:r>
      <w:r w:rsidR="00743DD7">
        <w:t xml:space="preserve"> attraction</w:t>
      </w:r>
      <w:r w:rsidR="00291301">
        <w:t xml:space="preserve">.  </w:t>
      </w:r>
      <w:r>
        <w:t xml:space="preserve">They found Millennials </w:t>
      </w:r>
      <w:r w:rsidR="00291301">
        <w:t>prioritize balanc</w:t>
      </w:r>
      <w:r>
        <w:t>ing</w:t>
      </w:r>
      <w:r w:rsidR="00291301">
        <w:t xml:space="preserve"> personal life </w:t>
      </w:r>
      <w:r>
        <w:t xml:space="preserve">with </w:t>
      </w:r>
      <w:r w:rsidR="00291301">
        <w:t>career, pursui</w:t>
      </w:r>
      <w:r w:rsidR="00E85D45">
        <w:t>ng</w:t>
      </w:r>
      <w:r w:rsidR="00291301">
        <w:t xml:space="preserve"> further </w:t>
      </w:r>
      <w:r w:rsidR="00291301" w:rsidRPr="001D2507">
        <w:t>education, and contributi</w:t>
      </w:r>
      <w:r w:rsidRPr="001D2507">
        <w:t>ng</w:t>
      </w:r>
      <w:r w:rsidR="00291301" w:rsidRPr="001D2507">
        <w:t xml:space="preserve"> to society as their top career goals</w:t>
      </w:r>
      <w:r w:rsidR="00743DD7" w:rsidRPr="001D2507">
        <w:t>, making public service a good career match</w:t>
      </w:r>
      <w:r w:rsidR="00291301" w:rsidRPr="001D2507">
        <w:t xml:space="preserve">.  </w:t>
      </w:r>
      <w:r w:rsidR="00743DD7" w:rsidRPr="001D2507">
        <w:t xml:space="preserve">However, </w:t>
      </w:r>
      <w:r w:rsidRPr="001D2507">
        <w:t xml:space="preserve">Millennials who identify as </w:t>
      </w:r>
      <w:r w:rsidR="00FE7837" w:rsidRPr="001D2507">
        <w:t xml:space="preserve">visible minorities prefer the private sector </w:t>
      </w:r>
      <w:r w:rsidR="00743DD7" w:rsidRPr="001D2507">
        <w:t>over public service</w:t>
      </w:r>
      <w:r w:rsidRPr="001D2507">
        <w:t xml:space="preserve">.  The authors suggest a </w:t>
      </w:r>
      <w:r w:rsidR="00E85D45" w:rsidRPr="001D2507">
        <w:t xml:space="preserve">perceived discrimination by visible minorities </w:t>
      </w:r>
      <w:r w:rsidRPr="001D2507">
        <w:t xml:space="preserve">to be a </w:t>
      </w:r>
      <w:r w:rsidR="00E85D45" w:rsidRPr="001D2507">
        <w:t xml:space="preserve">contributing </w:t>
      </w:r>
      <w:r w:rsidRPr="001D2507">
        <w:t>factor</w:t>
      </w:r>
      <w:r w:rsidR="00FE7837" w:rsidRPr="001D2507">
        <w:t xml:space="preserve">.  </w:t>
      </w:r>
      <w:r w:rsidR="00FE7837" w:rsidRPr="001C7BA7">
        <w:t>This reflect</w:t>
      </w:r>
      <w:r w:rsidR="00D248A8" w:rsidRPr="001C7BA7">
        <w:t>s</w:t>
      </w:r>
      <w:r w:rsidR="00FE7837" w:rsidRPr="001C7BA7">
        <w:t xml:space="preserve"> </w:t>
      </w:r>
      <w:r w:rsidR="00D248A8" w:rsidRPr="001C7BA7">
        <w:t xml:space="preserve">statistics </w:t>
      </w:r>
      <w:r w:rsidR="00FE7837" w:rsidRPr="001C7BA7">
        <w:t xml:space="preserve">showing visible minorities are underrepresented in </w:t>
      </w:r>
      <w:r w:rsidR="00D248A8" w:rsidRPr="001C7BA7">
        <w:t>f</w:t>
      </w:r>
      <w:r w:rsidR="00FE7837" w:rsidRPr="001C7BA7">
        <w:t xml:space="preserve">ederal government hires and overall employment.  </w:t>
      </w:r>
      <w:r w:rsidR="00743DD7" w:rsidRPr="001C7BA7">
        <w:t xml:space="preserve">In comparison, </w:t>
      </w:r>
      <w:r w:rsidR="00FE7837" w:rsidRPr="001C7BA7">
        <w:t xml:space="preserve">other </w:t>
      </w:r>
      <w:r w:rsidR="00743DD7" w:rsidRPr="001C7BA7">
        <w:t xml:space="preserve">underrepresented minority groups </w:t>
      </w:r>
      <w:r w:rsidR="008A2356" w:rsidRPr="001C7BA7">
        <w:t xml:space="preserve">designated </w:t>
      </w:r>
      <w:r w:rsidR="00743DD7" w:rsidRPr="001C7BA7">
        <w:t xml:space="preserve">(i.e., </w:t>
      </w:r>
      <w:r w:rsidR="00FE7837" w:rsidRPr="001C7BA7">
        <w:t>women, people with disabilities, Aboriginal peoples, and sexual minorities</w:t>
      </w:r>
      <w:r w:rsidR="00743DD7" w:rsidRPr="001C7BA7">
        <w:t>)</w:t>
      </w:r>
      <w:r w:rsidR="00FE7837" w:rsidRPr="001C7BA7">
        <w:t xml:space="preserve"> </w:t>
      </w:r>
      <w:r w:rsidR="00743DD7" w:rsidRPr="001C7BA7">
        <w:t xml:space="preserve">expressed greater </w:t>
      </w:r>
      <w:r w:rsidR="00FE7837" w:rsidRPr="001C7BA7">
        <w:t>interest</w:t>
      </w:r>
      <w:r w:rsidR="00743DD7" w:rsidRPr="001C7BA7">
        <w:t>s</w:t>
      </w:r>
      <w:r w:rsidR="00FE7837" w:rsidRPr="001C7BA7">
        <w:t xml:space="preserve"> in </w:t>
      </w:r>
      <w:r w:rsidR="00FE7837" w:rsidRPr="001C7BA7">
        <w:lastRenderedPageBreak/>
        <w:t xml:space="preserve">public service employment than </w:t>
      </w:r>
      <w:r w:rsidR="00C92F7C" w:rsidRPr="001C7BA7">
        <w:t xml:space="preserve">their </w:t>
      </w:r>
      <w:r w:rsidR="00FE7837" w:rsidRPr="001C7BA7">
        <w:t>majority counterparts (i.e.</w:t>
      </w:r>
      <w:r w:rsidR="008A2356" w:rsidRPr="001C7BA7">
        <w:t>, able-bodied</w:t>
      </w:r>
      <w:r w:rsidR="00FE7837" w:rsidRPr="001C7BA7">
        <w:t>, non-Aboriginals, heterosexual</w:t>
      </w:r>
      <w:r w:rsidR="008A2356" w:rsidRPr="001C7BA7">
        <w:t>s, Whites, males</w:t>
      </w:r>
      <w:r w:rsidR="00FE7837" w:rsidRPr="001C7BA7">
        <w:t xml:space="preserve">).  </w:t>
      </w:r>
      <w:r w:rsidR="00E612B9" w:rsidRPr="001C7BA7">
        <w:t>Taken together, these findings</w:t>
      </w:r>
      <w:r w:rsidR="00E612B9">
        <w:t xml:space="preserve"> suggest visible minorities’ disfavour of public service</w:t>
      </w:r>
      <w:r w:rsidR="00B229ED">
        <w:t xml:space="preserve"> careers</w:t>
      </w:r>
      <w:r w:rsidR="00E612B9">
        <w:t>.</w:t>
      </w:r>
      <w:r w:rsidR="00E56121">
        <w:t xml:space="preserve">  </w:t>
      </w:r>
      <w:r w:rsidR="00E85D45">
        <w:t>In t</w:t>
      </w:r>
      <w:r w:rsidR="00E56121" w:rsidRPr="00153D64">
        <w:t>he next section</w:t>
      </w:r>
      <w:r w:rsidR="00E85D45">
        <w:t>, we</w:t>
      </w:r>
      <w:r w:rsidR="00E56121" w:rsidRPr="00153D64">
        <w:t xml:space="preserve"> will </w:t>
      </w:r>
      <w:r w:rsidR="00E85D45">
        <w:t xml:space="preserve">examine </w:t>
      </w:r>
      <w:r w:rsidR="00E56121" w:rsidRPr="00153D64">
        <w:t>how Canada has used multiculturalism as a national integrati</w:t>
      </w:r>
      <w:r w:rsidR="00E85D45">
        <w:t>on</w:t>
      </w:r>
      <w:r w:rsidR="00E56121" w:rsidRPr="00153D64">
        <w:t xml:space="preserve"> tool to manage an increasingly diverse demographic profile and a means towards representative bureaucracy.</w:t>
      </w:r>
    </w:p>
    <w:p w14:paraId="108A92A7" w14:textId="77777777" w:rsidR="00E85D45" w:rsidRPr="00153D64" w:rsidRDefault="00E85D45" w:rsidP="00BA2863">
      <w:pPr>
        <w:ind w:firstLine="720"/>
      </w:pPr>
    </w:p>
    <w:p w14:paraId="0EDA3736" w14:textId="364217D5" w:rsidR="00D64B64" w:rsidRDefault="00E0255A" w:rsidP="000C02B7">
      <w:pPr>
        <w:jc w:val="center"/>
      </w:pPr>
      <w:r>
        <w:rPr>
          <w:b/>
          <w:bCs/>
        </w:rPr>
        <w:t xml:space="preserve">CANADIAN MULTICULTURALISM </w:t>
      </w:r>
      <w:r w:rsidR="00D6228B">
        <w:rPr>
          <w:b/>
          <w:bCs/>
        </w:rPr>
        <w:t>AND REPRESENTATIVE DEMOCRACY</w:t>
      </w:r>
    </w:p>
    <w:p w14:paraId="5FB76341" w14:textId="509F13A4" w:rsidR="00F040E9" w:rsidRDefault="00F040E9" w:rsidP="00F040E9">
      <w:r>
        <w:t xml:space="preserve">Like other western democracies </w:t>
      </w:r>
      <w:r w:rsidR="00257BD3">
        <w:t xml:space="preserve">relying on </w:t>
      </w:r>
      <w:r>
        <w:t xml:space="preserve">immigration as a strategy for national competitiveness (e.g. Australia and </w:t>
      </w:r>
      <w:r w:rsidR="00257BD3">
        <w:t>Canada</w:t>
      </w:r>
      <w:r w:rsidR="00D1552A">
        <w:t>;</w:t>
      </w:r>
      <w:r w:rsidR="00E85D45">
        <w:t xml:space="preserve"> </w:t>
      </w:r>
      <w:r>
        <w:t>see Colic-</w:t>
      </w:r>
      <w:proofErr w:type="spellStart"/>
      <w:r>
        <w:t>Peisker</w:t>
      </w:r>
      <w:proofErr w:type="spellEnd"/>
      <w:r>
        <w:t xml:space="preserve"> 2011), the </w:t>
      </w:r>
      <w:r w:rsidR="00257BD3">
        <w:t xml:space="preserve">resulting </w:t>
      </w:r>
      <w:r>
        <w:t xml:space="preserve">increases in </w:t>
      </w:r>
      <w:r w:rsidR="00D1552A">
        <w:t xml:space="preserve">visible </w:t>
      </w:r>
      <w:r w:rsidR="00DD23A5">
        <w:t xml:space="preserve">minorities </w:t>
      </w:r>
      <w:r>
        <w:t xml:space="preserve">have raised issues for national integration policies.  Research on countries with large immigrant populations has examined how the influx of immigrants affected national identity.  Specifically, immigration is viewed by some to threaten the solidarity of nation-states and have negatively impacted ideas of citizenship and national identity since immigrants do not share the same values and beliefs of their adopted countries (see Luedtke 2005; Ng and </w:t>
      </w:r>
      <w:proofErr w:type="spellStart"/>
      <w:r>
        <w:t>Bloe</w:t>
      </w:r>
      <w:r w:rsidR="00257BD3">
        <w:t>m</w:t>
      </w:r>
      <w:r>
        <w:t>raad</w:t>
      </w:r>
      <w:proofErr w:type="spellEnd"/>
      <w:r>
        <w:t xml:space="preserve"> 2015).  This fear is pervasive, as respondents in the European Union viewed immigration as more important </w:t>
      </w:r>
      <w:r w:rsidR="00BF1AF1">
        <w:t xml:space="preserve">concern </w:t>
      </w:r>
      <w:r>
        <w:t>than terrorism, pensions, taxation, education, housing, the environment, public transport, defence and foreign affairs (</w:t>
      </w:r>
      <w:r w:rsidRPr="001C7BA7">
        <w:t xml:space="preserve">Eurobarometer </w:t>
      </w:r>
      <w:r w:rsidR="009E00DD" w:rsidRPr="001C7BA7">
        <w:t>2018</w:t>
      </w:r>
      <w:r w:rsidR="0022604A" w:rsidRPr="001C7BA7">
        <w:t xml:space="preserve">, cf. </w:t>
      </w:r>
      <w:proofErr w:type="spellStart"/>
      <w:r w:rsidR="000B3C00" w:rsidRPr="001C7BA7">
        <w:t>Strupczeski</w:t>
      </w:r>
      <w:proofErr w:type="spellEnd"/>
      <w:r w:rsidR="000B3C00" w:rsidRPr="001C7BA7">
        <w:t xml:space="preserve"> &amp; </w:t>
      </w:r>
      <w:proofErr w:type="spellStart"/>
      <w:r w:rsidR="000B3C00" w:rsidRPr="001C7BA7">
        <w:t>Echikson</w:t>
      </w:r>
      <w:proofErr w:type="spellEnd"/>
      <w:r w:rsidR="000B3C00" w:rsidRPr="001C7BA7">
        <w:t>, 2018</w:t>
      </w:r>
      <w:r w:rsidRPr="001C7BA7">
        <w:t>).</w:t>
      </w:r>
      <w:r>
        <w:t xml:space="preserve">  </w:t>
      </w:r>
    </w:p>
    <w:p w14:paraId="6538E277" w14:textId="0A247CBA" w:rsidR="00F040E9" w:rsidRDefault="00F040E9" w:rsidP="004F53E3">
      <w:pPr>
        <w:ind w:firstLine="720"/>
      </w:pPr>
      <w:r>
        <w:t>Despite</w:t>
      </w:r>
      <w:r w:rsidR="00516991">
        <w:t xml:space="preserve"> this</w:t>
      </w:r>
      <w:r>
        <w:t>, Canada’s use of multiculturalism as a national integration policy has strengthened citizenship and national identity amidst the growing demographic</w:t>
      </w:r>
      <w:r w:rsidR="001913D1">
        <w:t xml:space="preserve"> diversity</w:t>
      </w:r>
      <w:r>
        <w:t xml:space="preserve">.  Berry’s (1997, 1998) typology of immigrant acculturation describes the interaction between dominant groups of a host country and incoming immigrant minorities.  Countries using an </w:t>
      </w:r>
      <w:r>
        <w:rPr>
          <w:i/>
          <w:iCs/>
        </w:rPr>
        <w:t>assimilationist</w:t>
      </w:r>
      <w:r>
        <w:t xml:space="preserve"> approach to manage immigration, </w:t>
      </w:r>
      <w:r w:rsidR="00684E18">
        <w:t xml:space="preserve">like </w:t>
      </w:r>
      <w:r>
        <w:t>the United States</w:t>
      </w:r>
      <w:r w:rsidR="001913D1">
        <w:t xml:space="preserve"> and France,</w:t>
      </w:r>
      <w:r>
        <w:t xml:space="preserve"> expect immigrant minorities to abandon </w:t>
      </w:r>
      <w:r w:rsidR="00D51795">
        <w:t xml:space="preserve">their </w:t>
      </w:r>
      <w:r>
        <w:t xml:space="preserve">(cultural) identities in favour of a host country’s culture.  </w:t>
      </w:r>
      <w:r w:rsidR="00A64FF7">
        <w:t>In this way, n</w:t>
      </w:r>
      <w:r>
        <w:t xml:space="preserve">ational identity and citizenship are understood as homogenous, while ethnic diversity in culture and language are viewed as threats to national identity (Stratton and Ang, 1994).  </w:t>
      </w:r>
      <w:r w:rsidR="00A64FF7">
        <w:t>N</w:t>
      </w:r>
      <w:r>
        <w:t xml:space="preserve">ewcomers maintaining attachments to home cultures in these countries are likely to experience discrimination (Reitz 1998) and </w:t>
      </w:r>
      <w:r w:rsidR="001913D1">
        <w:t xml:space="preserve">they </w:t>
      </w:r>
      <w:r>
        <w:t xml:space="preserve">suffer socioeconomic penalties as they are less likely to acquire </w:t>
      </w:r>
      <w:r w:rsidR="00D51795">
        <w:t xml:space="preserve">the </w:t>
      </w:r>
      <w:r>
        <w:t xml:space="preserve">social capital </w:t>
      </w:r>
      <w:r w:rsidR="00D51795">
        <w:t xml:space="preserve">necessary </w:t>
      </w:r>
      <w:r>
        <w:t>for advancement (</w:t>
      </w:r>
      <w:proofErr w:type="spellStart"/>
      <w:r>
        <w:t>Negy</w:t>
      </w:r>
      <w:proofErr w:type="spellEnd"/>
      <w:r w:rsidR="006D6E62">
        <w:t xml:space="preserve"> et al. </w:t>
      </w:r>
      <w:r>
        <w:t xml:space="preserve">2009).  </w:t>
      </w:r>
      <w:r w:rsidR="001913D1">
        <w:t xml:space="preserve">In </w:t>
      </w:r>
      <w:r w:rsidR="0015612A">
        <w:t>contras</w:t>
      </w:r>
      <w:r w:rsidR="001913D1">
        <w:t>t, an</w:t>
      </w:r>
      <w:r>
        <w:t xml:space="preserve"> </w:t>
      </w:r>
      <w:r>
        <w:rPr>
          <w:i/>
          <w:iCs/>
        </w:rPr>
        <w:t>integrationist</w:t>
      </w:r>
      <w:r>
        <w:t xml:space="preserve"> approach</w:t>
      </w:r>
      <w:r w:rsidR="001913D1">
        <w:t xml:space="preserve"> </w:t>
      </w:r>
      <w:r>
        <w:t>to immigrant acculturation</w:t>
      </w:r>
      <w:r w:rsidR="001913D1">
        <w:t>, as practiced in Canada and Australia,</w:t>
      </w:r>
      <w:r>
        <w:t xml:space="preserve"> understands the host country to be open and tolerant to immigrant minorities</w:t>
      </w:r>
      <w:r w:rsidR="001913D1">
        <w:t xml:space="preserve">.  In Canada, </w:t>
      </w:r>
      <w:r w:rsidR="001913D1">
        <w:lastRenderedPageBreak/>
        <w:t>n</w:t>
      </w:r>
      <w:r>
        <w:t xml:space="preserve">ewcomers are </w:t>
      </w:r>
      <w:r w:rsidR="001913D1">
        <w:t xml:space="preserve">explicitly </w:t>
      </w:r>
      <w:r>
        <w:t xml:space="preserve">encouraged to integrate into society and take part in </w:t>
      </w:r>
      <w:r w:rsidR="001913D1">
        <w:t xml:space="preserve">the country’s </w:t>
      </w:r>
      <w:r>
        <w:t xml:space="preserve">social, cultural, economic, and political lives </w:t>
      </w:r>
      <w:r w:rsidR="001913D1">
        <w:t xml:space="preserve">while maintaining their own cultures </w:t>
      </w:r>
      <w:r>
        <w:t>(Citizenship and Immigration Can</w:t>
      </w:r>
      <w:r w:rsidR="00684E18">
        <w:t>a</w:t>
      </w:r>
      <w:r>
        <w:t>da 2012).</w:t>
      </w:r>
      <w:r w:rsidR="008D2EDF">
        <w:t xml:space="preserve">  The difference in approach is seen in naturaliza</w:t>
      </w:r>
      <w:r w:rsidR="00E938BB">
        <w:t>ti</w:t>
      </w:r>
      <w:r w:rsidR="008D2EDF">
        <w:t xml:space="preserve">on rates, with 85.6% foreign-born individuals reporting Canadian citizenship in 2011 compared to 43.7% in the United States (Statistics Canada 2011).  It is important for </w:t>
      </w:r>
      <w:r w:rsidR="0083599D">
        <w:t xml:space="preserve">minority </w:t>
      </w:r>
      <w:r w:rsidR="008D2EDF">
        <w:t>newcomer</w:t>
      </w:r>
      <w:r w:rsidR="00E56121">
        <w:t>s</w:t>
      </w:r>
      <w:r w:rsidR="008D2EDF">
        <w:t xml:space="preserve"> to attain citizenship as it is both a key indicator and mechanism to further political participation</w:t>
      </w:r>
      <w:r w:rsidR="001913D1">
        <w:t xml:space="preserve"> </w:t>
      </w:r>
      <w:proofErr w:type="spellStart"/>
      <w:r w:rsidR="001913D1">
        <w:t>abd</w:t>
      </w:r>
      <w:proofErr w:type="spellEnd"/>
      <w:r w:rsidR="001913D1">
        <w:t xml:space="preserve"> socioeconomic mobility (Rajendran et al. 2019)</w:t>
      </w:r>
      <w:r w:rsidR="008D2EDF">
        <w:t>.  As an indicator, newcomer minorities are mor</w:t>
      </w:r>
      <w:r w:rsidR="00A01869">
        <w:t xml:space="preserve">e likely to attain citizenship if they are active participants in civic life, </w:t>
      </w:r>
      <w:r w:rsidR="001913D1">
        <w:t xml:space="preserve">such as </w:t>
      </w:r>
      <w:r w:rsidR="00A01869">
        <w:t>membership in local associations</w:t>
      </w:r>
      <w:r w:rsidR="005D22FF">
        <w:t xml:space="preserve"> suggesting embeddedness in the adopted country</w:t>
      </w:r>
      <w:r w:rsidR="00A01869">
        <w:t xml:space="preserve"> (</w:t>
      </w:r>
      <w:proofErr w:type="spellStart"/>
      <w:r w:rsidR="00A01869">
        <w:t>Bloemraad</w:t>
      </w:r>
      <w:proofErr w:type="spellEnd"/>
      <w:r w:rsidR="00A01869">
        <w:t xml:space="preserve"> 2006).  As a mechanism, citizenship is a prerequisite to participate in parliamentary elections (</w:t>
      </w:r>
      <w:r w:rsidR="004B2618">
        <w:t xml:space="preserve">see </w:t>
      </w:r>
      <w:proofErr w:type="spellStart"/>
      <w:r w:rsidR="004B2618">
        <w:t>Hooghe</w:t>
      </w:r>
      <w:proofErr w:type="spellEnd"/>
      <w:r w:rsidR="004B2618">
        <w:t xml:space="preserve"> 2014</w:t>
      </w:r>
      <w:r w:rsidR="00A01869">
        <w:t>).</w:t>
      </w:r>
      <w:r w:rsidR="004F53E3">
        <w:t xml:space="preserve">  Canadian national identity is, therefore, an inclusive force as diversity and inclusivity are normative cultural dimensions of Canada (see </w:t>
      </w:r>
      <w:proofErr w:type="spellStart"/>
      <w:r w:rsidR="004F53E3">
        <w:t>Theiss</w:t>
      </w:r>
      <w:proofErr w:type="spellEnd"/>
      <w:r w:rsidR="004F53E3">
        <w:t xml:space="preserve">-Morse 2009).  Immigrants </w:t>
      </w:r>
      <w:r w:rsidR="00D11E20">
        <w:t xml:space="preserve">to Canada </w:t>
      </w:r>
      <w:r w:rsidR="004F53E3">
        <w:t xml:space="preserve">feel safe, secure and confident, with newcomer populations expressing increased psychological and sociocultural adaptation </w:t>
      </w:r>
      <w:r w:rsidR="00D11E20">
        <w:t xml:space="preserve">compared to immigrants to France </w:t>
      </w:r>
      <w:r w:rsidR="004F53E3">
        <w:t>(</w:t>
      </w:r>
      <w:r w:rsidR="00D11E20">
        <w:t xml:space="preserve">Sabatier and </w:t>
      </w:r>
      <w:r w:rsidR="004F53E3">
        <w:t>Berry 200</w:t>
      </w:r>
      <w:r w:rsidR="00D11E20">
        <w:t>8</w:t>
      </w:r>
      <w:r w:rsidR="004F53E3">
        <w:t>).</w:t>
      </w:r>
      <w:r w:rsidR="00ED7DAD">
        <w:t xml:space="preserve"> </w:t>
      </w:r>
    </w:p>
    <w:p w14:paraId="392AA8B4" w14:textId="07B2D4B9" w:rsidR="003E0B7B" w:rsidRDefault="004F53E3" w:rsidP="00AA5CB8">
      <w:r>
        <w:tab/>
        <w:t>The high tolerance of inter-group differences</w:t>
      </w:r>
      <w:r w:rsidR="00C86EF3">
        <w:t xml:space="preserve"> maintained by multiculturalism as an integration policy</w:t>
      </w:r>
      <w:r>
        <w:t xml:space="preserve"> is reflected in the </w:t>
      </w:r>
      <w:r w:rsidR="00D51795">
        <w:t>f</w:t>
      </w:r>
      <w:r>
        <w:t>ederal government’s recruitment approach</w:t>
      </w:r>
      <w:r w:rsidR="00516991">
        <w:t xml:space="preserve"> which began with the </w:t>
      </w:r>
      <w:r w:rsidR="00516991">
        <w:rPr>
          <w:i/>
          <w:iCs/>
        </w:rPr>
        <w:t>Official Languages Act</w:t>
      </w:r>
      <w:r w:rsidR="00516991">
        <w:t xml:space="preserve"> (1969).  </w:t>
      </w:r>
      <w:r w:rsidR="003E0B7B">
        <w:t xml:space="preserve">Canada is the product of two founding nations of England and France; however, the passing of the </w:t>
      </w:r>
      <w:r w:rsidR="00516991">
        <w:t>C</w:t>
      </w:r>
      <w:r w:rsidR="003E0B7B">
        <w:t xml:space="preserve">ivic Service Act (1918) resulted in </w:t>
      </w:r>
      <w:r w:rsidR="00B55068">
        <w:t xml:space="preserve">a reduction in the use of French and a corresponding </w:t>
      </w:r>
      <w:r w:rsidR="003E0B7B">
        <w:t xml:space="preserve">decrease of French representation in Canada’s bureaucracy (Turgeon and Gagnon 2013, 40).  Between 1917 to 1945, the representation of French Canadians in bureaucratic positions decreased from 21.6% to 12.5%.  Tensions between English and French </w:t>
      </w:r>
      <w:r w:rsidR="00C706A7">
        <w:t>Canada</w:t>
      </w:r>
      <w:r w:rsidR="003E0B7B">
        <w:t xml:space="preserve"> rapidly grew</w:t>
      </w:r>
      <w:r w:rsidR="00BC37BF">
        <w:t xml:space="preserve"> as </w:t>
      </w:r>
      <w:r w:rsidR="003E0B7B">
        <w:t>Fr</w:t>
      </w:r>
      <w:r w:rsidR="00E439A7">
        <w:t>anco-</w:t>
      </w:r>
      <w:r w:rsidR="003E0B7B">
        <w:t xml:space="preserve">Canadians were frustrated by the lack of representation and </w:t>
      </w:r>
      <w:r w:rsidR="00053FD6">
        <w:t xml:space="preserve">the provision </w:t>
      </w:r>
      <w:r w:rsidR="00567F58">
        <w:t xml:space="preserve">French services </w:t>
      </w:r>
      <w:r w:rsidR="003E0B7B">
        <w:t xml:space="preserve">from the </w:t>
      </w:r>
      <w:r w:rsidR="0083599D">
        <w:t>f</w:t>
      </w:r>
      <w:r w:rsidR="003E0B7B">
        <w:t>ederal government</w:t>
      </w:r>
      <w:r w:rsidR="00BC37BF">
        <w:t>. Governmental institutions, even those within Quebec</w:t>
      </w:r>
      <w:r w:rsidR="006D6E62">
        <w:t xml:space="preserve"> as Canada’ only dominant French speaking province</w:t>
      </w:r>
      <w:r w:rsidR="00AA5CB8">
        <w:t xml:space="preserve">, were under the management of English speakers, giving </w:t>
      </w:r>
      <w:r w:rsidR="00C706A7">
        <w:t>Franco</w:t>
      </w:r>
      <w:r w:rsidR="00BC37BF">
        <w:t xml:space="preserve">-Canadians </w:t>
      </w:r>
      <w:r w:rsidR="00AA5CB8">
        <w:t xml:space="preserve">the impression </w:t>
      </w:r>
      <w:r w:rsidR="00D51795">
        <w:t>of</w:t>
      </w:r>
      <w:r w:rsidR="00AA5CB8">
        <w:t xml:space="preserve"> a colonial territory (B and B Commission 1965, 109).  Anglo-Canadians were dismissive since French Canada</w:t>
      </w:r>
      <w:r w:rsidR="003E0B7B">
        <w:t xml:space="preserve"> w</w:t>
      </w:r>
      <w:r w:rsidR="00E938BB">
        <w:t>as</w:t>
      </w:r>
      <w:r w:rsidR="003E0B7B">
        <w:t xml:space="preserve"> considered a</w:t>
      </w:r>
      <w:r w:rsidR="00AA5CB8">
        <w:t xml:space="preserve"> linguistic </w:t>
      </w:r>
      <w:r w:rsidR="003E0B7B">
        <w:t xml:space="preserve">minority, </w:t>
      </w:r>
      <w:r w:rsidR="00E439A7">
        <w:t>with only 12.4% of the Canadian population speak</w:t>
      </w:r>
      <w:r w:rsidR="00D51795">
        <w:t>ing</w:t>
      </w:r>
      <w:r w:rsidR="00E439A7">
        <w:t xml:space="preserve"> French in 1941 compared </w:t>
      </w:r>
      <w:r w:rsidR="00D51795">
        <w:t>with</w:t>
      </w:r>
      <w:r w:rsidR="00E439A7">
        <w:t xml:space="preserve"> 32.0% in 1901 (Statistics Canada 2018</w:t>
      </w:r>
      <w:r w:rsidR="00E439A7" w:rsidRPr="0051729D">
        <w:t xml:space="preserve">).  </w:t>
      </w:r>
      <w:r w:rsidR="0051729D">
        <w:t>As such, efforts to increase the r</w:t>
      </w:r>
      <w:r w:rsidR="00E439A7" w:rsidRPr="0051729D">
        <w:t>epresentation of</w:t>
      </w:r>
      <w:r w:rsidR="0051729D">
        <w:t xml:space="preserve"> French</w:t>
      </w:r>
      <w:r w:rsidR="00E439A7" w:rsidRPr="0051729D">
        <w:t xml:space="preserve"> linguistic diversity w</w:t>
      </w:r>
      <w:r w:rsidR="00E938BB" w:rsidRPr="0051729D">
        <w:t>as</w:t>
      </w:r>
      <w:r w:rsidR="00E439A7" w:rsidRPr="0051729D">
        <w:t xml:space="preserve"> viewed by English Canada </w:t>
      </w:r>
      <w:r w:rsidR="00711B37" w:rsidRPr="0051729D">
        <w:t>as</w:t>
      </w:r>
      <w:r w:rsidR="0051729D">
        <w:t xml:space="preserve"> inequitable</w:t>
      </w:r>
      <w:r w:rsidR="00E439A7" w:rsidRPr="0051729D">
        <w:t xml:space="preserve"> challenges to merit.</w:t>
      </w:r>
      <w:r w:rsidR="00E439A7">
        <w:t xml:space="preserve">  </w:t>
      </w:r>
      <w:r w:rsidR="0051729D">
        <w:t>However, b</w:t>
      </w:r>
      <w:r w:rsidR="003E0B7B">
        <w:t>y the 1960s national unity was under threat as support for Quebec independence</w:t>
      </w:r>
      <w:r w:rsidR="0051729D">
        <w:t xml:space="preserve"> increased</w:t>
      </w:r>
      <w:r w:rsidR="00E439A7">
        <w:t xml:space="preserve">, </w:t>
      </w:r>
      <w:r w:rsidR="00BC37BF">
        <w:t xml:space="preserve">and the debate shifted from merit to </w:t>
      </w:r>
      <w:r w:rsidR="00BC37BF">
        <w:lastRenderedPageBreak/>
        <w:t>national disintegration and identity</w:t>
      </w:r>
      <w:r w:rsidR="00E439A7">
        <w:t xml:space="preserve">.  </w:t>
      </w:r>
      <w:r w:rsidR="00AA5CB8">
        <w:t>Under the recommendations of the Royal Commission on Bilingualism and Biculturalism, Prime Minister Pierre Elliot Trudeau formally recognized the equal</w:t>
      </w:r>
      <w:r w:rsidR="00E439A7">
        <w:t xml:space="preserve"> status in Canada of English and French</w:t>
      </w:r>
      <w:r w:rsidR="00BC37BF">
        <w:t xml:space="preserve"> through the </w:t>
      </w:r>
      <w:r w:rsidR="00BC37BF">
        <w:rPr>
          <w:i/>
          <w:iCs/>
        </w:rPr>
        <w:t>Official Languages Act</w:t>
      </w:r>
      <w:r w:rsidR="00BC37BF">
        <w:t xml:space="preserve"> (1969)</w:t>
      </w:r>
      <w:r w:rsidR="00E439A7">
        <w:t xml:space="preserve"> in Parliament, the Government of Canada</w:t>
      </w:r>
      <w:r w:rsidR="00D51795">
        <w:t>,</w:t>
      </w:r>
      <w:r w:rsidR="00E439A7">
        <w:t xml:space="preserve"> and </w:t>
      </w:r>
      <w:r w:rsidR="003B2308">
        <w:t xml:space="preserve">all </w:t>
      </w:r>
      <w:r w:rsidR="00E439A7">
        <w:t>federal institutions</w:t>
      </w:r>
      <w:r w:rsidR="00BC37BF">
        <w:t xml:space="preserve">.  </w:t>
      </w:r>
    </w:p>
    <w:p w14:paraId="222718B4" w14:textId="729781EA" w:rsidR="00AA5CB8" w:rsidRPr="00B60CCC" w:rsidRDefault="00AA5CB8" w:rsidP="00AA5CB8">
      <w:r>
        <w:tab/>
        <w:t xml:space="preserve">The </w:t>
      </w:r>
      <w:r>
        <w:rPr>
          <w:i/>
          <w:iCs/>
        </w:rPr>
        <w:t xml:space="preserve">Official Languages Act </w:t>
      </w:r>
      <w:r>
        <w:t>(1969)</w:t>
      </w:r>
      <w:r w:rsidR="00516991">
        <w:t xml:space="preserve"> declared official bilingualism in Canada and remodelled the Canadian civil service as a bilingual institution.  Specifically, the Act</w:t>
      </w:r>
      <w:r>
        <w:t xml:space="preserve"> formally acknowledged the equal status of French and English linguistic diversity in Canada</w:t>
      </w:r>
      <w:r w:rsidR="00516991">
        <w:t xml:space="preserve"> and</w:t>
      </w:r>
      <w:r w:rsidR="008950E7">
        <w:t xml:space="preserve"> </w:t>
      </w:r>
      <w:r w:rsidR="00516991">
        <w:t>m</w:t>
      </w:r>
      <w:r w:rsidR="008950E7">
        <w:t xml:space="preserve">embers of either linguistic group </w:t>
      </w:r>
      <w:r w:rsidR="00F00E83">
        <w:t xml:space="preserve">are </w:t>
      </w:r>
      <w:r w:rsidR="008950E7">
        <w:t xml:space="preserve">given equal employment opportunities in </w:t>
      </w:r>
      <w:r w:rsidR="003B2308">
        <w:t>f</w:t>
      </w:r>
      <w:r w:rsidR="008950E7">
        <w:t xml:space="preserve">ederal institutions and the freedom to work in their preferred language.  </w:t>
      </w:r>
      <w:r w:rsidR="00516991">
        <w:t>A</w:t>
      </w:r>
      <w:r w:rsidR="00B60CCC">
        <w:t xml:space="preserve"> series of</w:t>
      </w:r>
      <w:r w:rsidR="004E6E17">
        <w:t xml:space="preserve"> notable changes in Canada’s </w:t>
      </w:r>
      <w:r w:rsidR="003B2308">
        <w:t>f</w:t>
      </w:r>
      <w:r w:rsidR="004E6E17">
        <w:t>ederal institutions</w:t>
      </w:r>
      <w:r w:rsidR="00516991">
        <w:t xml:space="preserve"> subsequently</w:t>
      </w:r>
      <w:r w:rsidR="004E6E17">
        <w:t xml:space="preserve"> occurred.  The position of Commissioner of Official Languages was created responsible for maintain</w:t>
      </w:r>
      <w:r w:rsidR="00E938BB">
        <w:t>ing</w:t>
      </w:r>
      <w:r w:rsidR="004E6E17">
        <w:t xml:space="preserve"> the principles of the Act (Turgeon and Gagnon 2013, 41; see also </w:t>
      </w:r>
      <w:r w:rsidR="00C02D5F">
        <w:t>Fortier</w:t>
      </w:r>
      <w:r w:rsidR="004E6E17">
        <w:t xml:space="preserve"> 1994).  The </w:t>
      </w:r>
      <w:r w:rsidR="00E46BF2">
        <w:t>Official</w:t>
      </w:r>
      <w:r w:rsidR="004E6E17">
        <w:t xml:space="preserve"> Languages in the Public Service (1973) resolution was introduced to increase French language use in the public service through recruitment and </w:t>
      </w:r>
      <w:r w:rsidR="00C02D5F">
        <w:t xml:space="preserve">French language </w:t>
      </w:r>
      <w:r w:rsidR="004E6E17">
        <w:t xml:space="preserve">training.  Most notably, the resolution made bilingualism an </w:t>
      </w:r>
      <w:r w:rsidR="00E46BF2">
        <w:t>official criterion</w:t>
      </w:r>
      <w:r w:rsidR="004E6E17">
        <w:t xml:space="preserve"> for all public service positions for employment in the </w:t>
      </w:r>
      <w:r w:rsidR="003B2308">
        <w:t>f</w:t>
      </w:r>
      <w:r w:rsidR="004E6E17">
        <w:t>ederal public service.  In this way, French language proficiency is considered a virtue and merito</w:t>
      </w:r>
      <w:r w:rsidR="00E938BB">
        <w:t>ri</w:t>
      </w:r>
      <w:r w:rsidR="004E6E17">
        <w:t xml:space="preserve">ous rather than a form of quota to increase representation.  </w:t>
      </w:r>
      <w:r w:rsidR="00C02D5F">
        <w:t xml:space="preserve">As a result of these changes, the number of public service positions designated as bilingual has grown from 25% in 1978 to over </w:t>
      </w:r>
      <w:r w:rsidR="00447787">
        <w:t>42.9</w:t>
      </w:r>
      <w:r w:rsidR="00C02D5F">
        <w:t xml:space="preserve">% in </w:t>
      </w:r>
      <w:r w:rsidR="00447787">
        <w:t>2018</w:t>
      </w:r>
      <w:r w:rsidR="00C02D5F">
        <w:t xml:space="preserve"> (Treasury Board of Canada Secretariat</w:t>
      </w:r>
      <w:r w:rsidR="00447787">
        <w:t xml:space="preserve"> 2019).  The result is </w:t>
      </w:r>
      <w:r w:rsidR="0034134B">
        <w:t>increased</w:t>
      </w:r>
      <w:r w:rsidR="00723F21">
        <w:t xml:space="preserve"> </w:t>
      </w:r>
      <w:r w:rsidR="00447787">
        <w:t>Francophone representation</w:t>
      </w:r>
      <w:r w:rsidR="001329F2">
        <w:t xml:space="preserve"> which has continued to the present day</w:t>
      </w:r>
      <w:r w:rsidR="00447787">
        <w:t xml:space="preserve">.  In 2014, Franco-Canadians occupied 58.6% of bilingual positions compared to 41.4% Anglo-Canadians in the </w:t>
      </w:r>
      <w:r w:rsidR="003B2308">
        <w:t>f</w:t>
      </w:r>
      <w:r w:rsidR="00447787">
        <w:t>ederal public service (Public Serv</w:t>
      </w:r>
      <w:r w:rsidR="00E938BB">
        <w:t>ic</w:t>
      </w:r>
      <w:r w:rsidR="00447787">
        <w:t>e Commission of Canada 2015).  In 2015, Franco-Canadians comprised of 23.2% of the Canadian population</w:t>
      </w:r>
      <w:r w:rsidR="00050AC9" w:rsidRPr="00050AC9">
        <w:t xml:space="preserve"> </w:t>
      </w:r>
      <w:r w:rsidR="00050AC9">
        <w:t xml:space="preserve">(Treasury Board of Canada Secretariat 2016).  Of those, 26.5% participated in </w:t>
      </w:r>
      <w:r w:rsidR="0083599D">
        <w:t>f</w:t>
      </w:r>
      <w:r w:rsidR="00050AC9">
        <w:t>ederal institutions and 31.2% in core public administration.</w:t>
      </w:r>
      <w:r w:rsidR="001329F2">
        <w:t xml:space="preserve">  Franco-Canadians are also better represented in supervisory positions.  In 2018, 76% of institutio</w:t>
      </w:r>
      <w:r w:rsidR="00E938BB">
        <w:t>ns</w:t>
      </w:r>
      <w:r w:rsidR="001329F2">
        <w:t xml:space="preserve"> and 86% of small institutions were supervised in the official languages of their choice, regardless of whether supervisors were located in bilingual or unilingual</w:t>
      </w:r>
      <w:r w:rsidR="00EE76A3">
        <w:t xml:space="preserve"> designated</w:t>
      </w:r>
      <w:r w:rsidR="001329F2">
        <w:t xml:space="preserve"> regions</w:t>
      </w:r>
      <w:r w:rsidR="00EE76A3">
        <w:t xml:space="preserve"> in the country</w:t>
      </w:r>
      <w:r w:rsidR="001329F2">
        <w:t xml:space="preserve"> (Treasury Board of Canada Secretariat 2019).</w:t>
      </w:r>
    </w:p>
    <w:p w14:paraId="288ECA88" w14:textId="3E57295F" w:rsidR="00E938BB" w:rsidRDefault="00516991" w:rsidP="00E938BB">
      <w:r>
        <w:tab/>
        <w:t>Canada’s demographic profile has diversified beyond its Anglo-Fran</w:t>
      </w:r>
      <w:r w:rsidR="00E46BF2">
        <w:t>c</w:t>
      </w:r>
      <w:r>
        <w:t>o roots, moving the Canadian government to become the first country to adopt a Multicultural Policy in 1971.  The</w:t>
      </w:r>
      <w:r w:rsidR="001329F2">
        <w:t xml:space="preserve"> Multicu</w:t>
      </w:r>
      <w:r w:rsidR="00E938BB">
        <w:t>l</w:t>
      </w:r>
      <w:r w:rsidR="001329F2">
        <w:t xml:space="preserve">turalism Policy, which was enacted into legislation in 1988 as the </w:t>
      </w:r>
      <w:r w:rsidR="001329F2">
        <w:rPr>
          <w:i/>
          <w:iCs/>
        </w:rPr>
        <w:t xml:space="preserve">Canadian </w:t>
      </w:r>
      <w:r w:rsidR="001329F2">
        <w:rPr>
          <w:i/>
          <w:iCs/>
        </w:rPr>
        <w:lastRenderedPageBreak/>
        <w:t xml:space="preserve">Multiculturalism Act </w:t>
      </w:r>
      <w:r w:rsidR="001329F2">
        <w:t>(1986), provide</w:t>
      </w:r>
      <w:r w:rsidR="0083599D">
        <w:t>s</w:t>
      </w:r>
      <w:r w:rsidR="001329F2">
        <w:t xml:space="preserve"> a formal understanding of and direction to </w:t>
      </w:r>
      <w:r w:rsidR="00E56121">
        <w:t xml:space="preserve">the </w:t>
      </w:r>
      <w:r w:rsidR="001329F2">
        <w:t xml:space="preserve">diversity that </w:t>
      </w:r>
      <w:r w:rsidR="00053DDC">
        <w:t>a</w:t>
      </w:r>
      <w:r w:rsidR="001329F2">
        <w:t>ccounted for immigrant</w:t>
      </w:r>
      <w:r>
        <w:t xml:space="preserve"> </w:t>
      </w:r>
      <w:r w:rsidR="001329F2">
        <w:t>growth</w:t>
      </w:r>
      <w:r>
        <w:t>, ethn</w:t>
      </w:r>
      <w:r w:rsidR="003B2308">
        <w:t>ocultural</w:t>
      </w:r>
      <w:r>
        <w:t xml:space="preserve"> diversity, as well as other minority groups</w:t>
      </w:r>
      <w:r w:rsidR="001329F2">
        <w:t xml:space="preserve">.  </w:t>
      </w:r>
      <w:r w:rsidR="00895E3D">
        <w:t>Th</w:t>
      </w:r>
      <w:r w:rsidR="003B2308">
        <w:t>e</w:t>
      </w:r>
      <w:r w:rsidR="00895E3D">
        <w:t xml:space="preserve"> Act, the first of its kind by a nation</w:t>
      </w:r>
      <w:r w:rsidR="00E938BB">
        <w:t>-</w:t>
      </w:r>
      <w:r w:rsidR="00895E3D">
        <w:t xml:space="preserve">state, is both </w:t>
      </w:r>
      <w:r>
        <w:t xml:space="preserve">a </w:t>
      </w:r>
      <w:r w:rsidR="00895E3D">
        <w:t xml:space="preserve">political philosophy and a public policy </w:t>
      </w:r>
      <w:r>
        <w:t xml:space="preserve">instrument </w:t>
      </w:r>
      <w:r w:rsidR="00895E3D">
        <w:t xml:space="preserve">used by the </w:t>
      </w:r>
      <w:r w:rsidR="005A4D02">
        <w:t>f</w:t>
      </w:r>
      <w:r w:rsidR="00895E3D">
        <w:t>ederal government to manage Canada’s growing demographic plurality.  As a political philosophy, Canadian multiculturalism formally accords recognition and positive accommodation to diverse cultural and religious groups (</w:t>
      </w:r>
      <w:proofErr w:type="spellStart"/>
      <w:r w:rsidR="00895E3D">
        <w:t>Kymlicka</w:t>
      </w:r>
      <w:proofErr w:type="spellEnd"/>
      <w:r w:rsidR="00895E3D">
        <w:t xml:space="preserve"> 1995).  This has set the tone for how immigrant resultant diversity is viewed</w:t>
      </w:r>
      <w:r w:rsidR="009C171E">
        <w:t xml:space="preserve"> by providing feelings of security and self-confidence and making Canadians more open to and accepting of diverse cultures (Citizenship and Immigration Canada 2012).  </w:t>
      </w:r>
      <w:r w:rsidR="00895E3D">
        <w:t xml:space="preserve">Of </w:t>
      </w:r>
      <w:r w:rsidR="00F873B4">
        <w:t xml:space="preserve">the </w:t>
      </w:r>
      <w:r w:rsidR="00895E3D">
        <w:t>23 countries surveyed in 2011, Canadians were the second-most likely to agree immigration has a positive impact on their country</w:t>
      </w:r>
      <w:r w:rsidR="00960F09">
        <w:t>, only residents in India were rated higher</w:t>
      </w:r>
      <w:r w:rsidR="00895E3D">
        <w:t xml:space="preserve"> (Hiebert 2016).  </w:t>
      </w:r>
      <w:r w:rsidR="009C171E">
        <w:t xml:space="preserve">Consequently, the Canadian government is accountable for ensuring activities are sensitive and responsible </w:t>
      </w:r>
      <w:r w:rsidR="00E938BB">
        <w:t>for</w:t>
      </w:r>
      <w:r w:rsidR="009C171E">
        <w:t xml:space="preserve"> diversity.  As a result, </w:t>
      </w:r>
      <w:r w:rsidR="003B2308">
        <w:t>m</w:t>
      </w:r>
      <w:r w:rsidR="00E938BB">
        <w:t xml:space="preserve">ulticulturalism is also </w:t>
      </w:r>
      <w:r w:rsidR="00895E3D">
        <w:t>a public policy</w:t>
      </w:r>
      <w:r w:rsidR="00E938BB">
        <w:t xml:space="preserve"> instrument and</w:t>
      </w:r>
      <w:r w:rsidR="00895E3D">
        <w:t xml:space="preserve"> means </w:t>
      </w:r>
      <w:r w:rsidR="00E938BB">
        <w:t>to</w:t>
      </w:r>
      <w:r w:rsidR="00895E3D">
        <w:t xml:space="preserve"> inclusion </w:t>
      </w:r>
      <w:r w:rsidR="00F873B4">
        <w:t xml:space="preserve">in guiding policy setting </w:t>
      </w:r>
      <w:r w:rsidR="00895E3D">
        <w:t>(</w:t>
      </w:r>
      <w:proofErr w:type="spellStart"/>
      <w:r w:rsidR="00895E3D">
        <w:t>Bloemraad</w:t>
      </w:r>
      <w:proofErr w:type="spellEnd"/>
      <w:r w:rsidR="00895E3D">
        <w:t xml:space="preserve"> 2007).</w:t>
      </w:r>
      <w:r w:rsidR="00C8646B">
        <w:t xml:space="preserve">  </w:t>
      </w:r>
      <w:r w:rsidR="00E938BB">
        <w:t>For instance, the Act outlines that all federal institutions shall:</w:t>
      </w:r>
    </w:p>
    <w:p w14:paraId="5B26EE37" w14:textId="77777777" w:rsidR="00E938BB" w:rsidRDefault="00E938BB" w:rsidP="00E938BB"/>
    <w:p w14:paraId="18418DD6" w14:textId="0025683F" w:rsidR="00C8646B" w:rsidRDefault="00E938BB" w:rsidP="00E938BB">
      <w:pPr>
        <w:ind w:left="567"/>
      </w:pPr>
      <w:r>
        <w:t xml:space="preserve"> “…ensure that Canadians of all origins have equal opportunity to obtain employment and advancement in those institutions… [to] promote policies, programs and practices that enhance the understanding of and respect for all diversity of the members of Canadian society…[and]…collect statistical data in order to enable the development of policies, programs and practices that are sensitive and responsive to the multicultural reality of Canada” (Canadian Multiculturalism Act 1998, 4).</w:t>
      </w:r>
    </w:p>
    <w:p w14:paraId="66CBF75C" w14:textId="39DD762A" w:rsidR="00E938BB" w:rsidRDefault="00E938BB" w:rsidP="00E938BB">
      <w:r>
        <w:tab/>
      </w:r>
    </w:p>
    <w:p w14:paraId="30BBDEC8" w14:textId="7AFBA385" w:rsidR="00516991" w:rsidRDefault="00E938BB" w:rsidP="00C86EF3">
      <w:r>
        <w:tab/>
      </w:r>
      <w:r w:rsidR="00516991">
        <w:t xml:space="preserve">One such program </w:t>
      </w:r>
      <w:r w:rsidR="005A4D02">
        <w:t xml:space="preserve">highlighted in the Act </w:t>
      </w:r>
      <w:r w:rsidR="00516991">
        <w:t xml:space="preserve">is </w:t>
      </w:r>
      <w:r w:rsidR="005A4D02">
        <w:t xml:space="preserve">the </w:t>
      </w:r>
      <w:r w:rsidR="00D77D55">
        <w:t>Legislated</w:t>
      </w:r>
      <w:r>
        <w:t xml:space="preserve"> </w:t>
      </w:r>
      <w:r w:rsidRPr="00516991">
        <w:t>Employment Equity Program</w:t>
      </w:r>
      <w:r>
        <w:t xml:space="preserve"> (LEEP) </w:t>
      </w:r>
      <w:r w:rsidR="00516991">
        <w:t>which has become the primary means</w:t>
      </w:r>
      <w:r>
        <w:t xml:space="preserve"> used</w:t>
      </w:r>
      <w:r w:rsidR="00516991">
        <w:t xml:space="preserve"> by the federal government</w:t>
      </w:r>
      <w:r>
        <w:t xml:space="preserve"> to foster representative bureaucracy in</w:t>
      </w:r>
      <w:r w:rsidR="00516991">
        <w:t xml:space="preserve"> the</w:t>
      </w:r>
      <w:r>
        <w:t xml:space="preserve"> public service</w:t>
      </w:r>
      <w:r w:rsidR="00516991">
        <w:t xml:space="preserve"> </w:t>
      </w:r>
      <w:r w:rsidR="00B032B0">
        <w:t xml:space="preserve">for </w:t>
      </w:r>
      <w:r>
        <w:t>four identified</w:t>
      </w:r>
      <w:r w:rsidR="00B032B0">
        <w:t xml:space="preserve"> underrepresented</w:t>
      </w:r>
      <w:r>
        <w:t xml:space="preserve"> groups: women, </w:t>
      </w:r>
      <w:r w:rsidR="00516991">
        <w:t xml:space="preserve">Aboriginals, persons with disabilities, and </w:t>
      </w:r>
      <w:r>
        <w:t xml:space="preserve">visible minorities.  </w:t>
      </w:r>
      <w:r w:rsidR="00516991">
        <w:t xml:space="preserve">Prior to the </w:t>
      </w:r>
      <w:r w:rsidR="00516991">
        <w:rPr>
          <w:i/>
          <w:iCs/>
        </w:rPr>
        <w:t xml:space="preserve">Official Languages Act </w:t>
      </w:r>
      <w:r w:rsidR="00516991">
        <w:t xml:space="preserve">(1969), the federal government and the public sector were considered elite institutions consisting largely of highly educated white Anglo-Canadian men (Olsen 1980).  Candidates </w:t>
      </w:r>
      <w:r w:rsidR="00B032B0">
        <w:t xml:space="preserve">were selected </w:t>
      </w:r>
      <w:r w:rsidR="00516991">
        <w:t xml:space="preserve">based on merit which emphasized credentialism and professional specialization.  Based on social considerations at the time, women, visible minorities, Aboriginals, and persons with disabilities faced systemic barriers to participate in the public </w:t>
      </w:r>
      <w:r w:rsidR="00516991">
        <w:lastRenderedPageBreak/>
        <w:t xml:space="preserve">service.  Women faced inadequate education and/or training, lower labour force commitment, </w:t>
      </w:r>
      <w:r w:rsidR="00723F21">
        <w:t xml:space="preserve">an </w:t>
      </w:r>
      <w:r w:rsidR="00516991">
        <w:t>absence of adequate childcare, and discrimination in human resource activities, like hiring or promotions (</w:t>
      </w:r>
      <w:proofErr w:type="spellStart"/>
      <w:r w:rsidR="00516991">
        <w:t>Calzavara</w:t>
      </w:r>
      <w:proofErr w:type="spellEnd"/>
      <w:r w:rsidR="00516991">
        <w:t xml:space="preserve"> 1985, 530).  Aboriginals similarly faced low access to education, cultural discrimination, financial obligation and the concentration of Aboriginals in low-level industries (</w:t>
      </w:r>
      <w:proofErr w:type="spellStart"/>
      <w:r w:rsidR="00516991">
        <w:t>Sharzer</w:t>
      </w:r>
      <w:proofErr w:type="spellEnd"/>
      <w:r w:rsidR="00516991">
        <w:t xml:space="preserve"> 1985).  </w:t>
      </w:r>
      <w:r w:rsidR="00516991" w:rsidRPr="0051729D">
        <w:t xml:space="preserve">Unlike women and Aboriginals, </w:t>
      </w:r>
      <w:r w:rsidR="00664A60">
        <w:t>in</w:t>
      </w:r>
      <w:r w:rsidR="00516991" w:rsidRPr="0051729D">
        <w:t>adequate data and information on the barriers to entry limited employment opportunities</w:t>
      </w:r>
      <w:r w:rsidR="00516991">
        <w:t xml:space="preserve"> </w:t>
      </w:r>
      <w:r w:rsidR="0051729D">
        <w:t xml:space="preserve">for visible minorities </w:t>
      </w:r>
      <w:r w:rsidR="00516991">
        <w:t>(Public Service Commission of Canada 2011).  It was only in 1977 where a report identified architectural barriers, lack of technical supports and transportations as issues</w:t>
      </w:r>
      <w:r w:rsidR="00664A60">
        <w:t xml:space="preserve"> facing visible minorities</w:t>
      </w:r>
      <w:r w:rsidR="00516991">
        <w:t>.  Social attitudes and assumptions of low ability were also found as barriers (</w:t>
      </w:r>
      <w:proofErr w:type="spellStart"/>
      <w:r w:rsidR="00516991">
        <w:t>Rioux</w:t>
      </w:r>
      <w:proofErr w:type="spellEnd"/>
      <w:r w:rsidR="00516991">
        <w:t xml:space="preserve"> 1985, 611).  </w:t>
      </w:r>
    </w:p>
    <w:p w14:paraId="7B7E3A84" w14:textId="7C5DD1B1" w:rsidR="00516991" w:rsidRDefault="00664A60" w:rsidP="00516991">
      <w:pPr>
        <w:ind w:firstLine="720"/>
      </w:pPr>
      <w:r>
        <w:t>Vestiges of the “White Canada” policy contributed to v</w:t>
      </w:r>
      <w:r w:rsidR="00516991">
        <w:t xml:space="preserve">isible minorities not </w:t>
      </w:r>
      <w:r>
        <w:t xml:space="preserve">openly </w:t>
      </w:r>
      <w:r w:rsidR="00516991">
        <w:t>accepted</w:t>
      </w:r>
      <w:r w:rsidR="003B2308">
        <w:t xml:space="preserve"> into the federal public service</w:t>
      </w:r>
      <w:r w:rsidR="00516991">
        <w:t xml:space="preserve">.  </w:t>
      </w:r>
      <w:r>
        <w:t xml:space="preserve">The </w:t>
      </w:r>
      <w:r w:rsidR="00516991">
        <w:t xml:space="preserve">“White Canada” policy was racially discriminatory and culturally assimilationist accepting </w:t>
      </w:r>
      <w:r>
        <w:t>only im</w:t>
      </w:r>
      <w:r w:rsidR="00516991">
        <w:t xml:space="preserve">migrants from Britain, the USA, and northern Europe (Banting and </w:t>
      </w:r>
      <w:proofErr w:type="spellStart"/>
      <w:r w:rsidR="00516991">
        <w:t>Kymlicka</w:t>
      </w:r>
      <w:proofErr w:type="spellEnd"/>
      <w:r w:rsidR="00516991">
        <w:t xml:space="preserve"> 2010; Ghosh 2018).  The Chinese Immigration Act (1885) placed a head tax on Chinese immigrants to limit the number of incoming Chinese immigrants after the completion of the trans-Canada railway.  The Continuous Journey Regulation (1908) restricted immigration from those who did not directly arrive from their home country, a practice applied to vessels from India.  It was only during the industrial boom in the 1950s and 1960s where a need for labour saw the end of ethnocentric foreign policies and a change towards nation-building via immigration.  These changes reflected international trends at the time, where former colonies in Asia and Africa petitioned the United Nations to remove racially discriminatory immigration policies (Dib 2006).  </w:t>
      </w:r>
      <w:r w:rsidR="00F70297">
        <w:t>Even t</w:t>
      </w:r>
      <w:r w:rsidR="00516991">
        <w:t>hen, visible minorities experienced non-recognition of qualifications, inflated or artificial education requirements and inadequate training, among others. (</w:t>
      </w:r>
      <w:proofErr w:type="spellStart"/>
      <w:r w:rsidR="00516991">
        <w:t>Abella</w:t>
      </w:r>
      <w:proofErr w:type="spellEnd"/>
      <w:r w:rsidR="00516991">
        <w:t xml:space="preserve"> 1984, 47-48).  Naturalized immigrant</w:t>
      </w:r>
      <w:r w:rsidR="0068041C">
        <w:t>s from racial</w:t>
      </w:r>
      <w:r w:rsidR="00516991">
        <w:t xml:space="preserve"> minori</w:t>
      </w:r>
      <w:r w:rsidR="0068041C">
        <w:t xml:space="preserve">ty backgrounds </w:t>
      </w:r>
      <w:r w:rsidR="00516991">
        <w:t>did not fa</w:t>
      </w:r>
      <w:r w:rsidR="00F70297">
        <w:t>re</w:t>
      </w:r>
      <w:r w:rsidR="00516991">
        <w:t xml:space="preserve"> better as they experienced systemic discrimination </w:t>
      </w:r>
      <w:r w:rsidR="0068041C">
        <w:t xml:space="preserve">in </w:t>
      </w:r>
      <w:r w:rsidR="00516991">
        <w:t xml:space="preserve">employment and </w:t>
      </w:r>
      <w:r w:rsidR="00E46BF2">
        <w:t xml:space="preserve">promotion </w:t>
      </w:r>
      <w:r w:rsidR="0068041C">
        <w:t xml:space="preserve">decisions </w:t>
      </w:r>
      <w:r w:rsidR="00516991">
        <w:t xml:space="preserve">despite being equally qualified.  </w:t>
      </w:r>
    </w:p>
    <w:p w14:paraId="04C1A4FF" w14:textId="30417792" w:rsidR="002D440B" w:rsidRDefault="00516991" w:rsidP="00516991">
      <w:pPr>
        <w:ind w:firstLine="720"/>
      </w:pPr>
      <w:r>
        <w:t>To address the systemic barriers experienced by these populations and through the framework provided by the Multiculturalism Act (1986), t</w:t>
      </w:r>
      <w:r w:rsidR="00E938BB">
        <w:t xml:space="preserve">he </w:t>
      </w:r>
      <w:r w:rsidR="00D77D55">
        <w:t>Employment Equity Act (EEA) (1986) or Legislated Employment Equity Program (LEEP)</w:t>
      </w:r>
      <w:r>
        <w:t xml:space="preserve"> uses a</w:t>
      </w:r>
      <w:r w:rsidR="00713F3D">
        <w:t xml:space="preserve"> compliance </w:t>
      </w:r>
      <w:r>
        <w:t xml:space="preserve">approach to minimize systemic discrimination experienced by the four target groups. In 1986, the </w:t>
      </w:r>
      <w:r w:rsidR="00D77D55">
        <w:t>Employment Equity Act (EEA)</w:t>
      </w:r>
      <w:r>
        <w:t xml:space="preserve"> was instituted</w:t>
      </w:r>
      <w:r w:rsidR="00E938BB">
        <w:t xml:space="preserve"> requir</w:t>
      </w:r>
      <w:r>
        <w:t>ing</w:t>
      </w:r>
      <w:r w:rsidR="00E938BB">
        <w:t xml:space="preserve"> the </w:t>
      </w:r>
      <w:r w:rsidR="000555CA">
        <w:t>f</w:t>
      </w:r>
      <w:r w:rsidR="00E938BB">
        <w:t xml:space="preserve">ederal </w:t>
      </w:r>
      <w:r w:rsidR="000555CA">
        <w:t xml:space="preserve">public service </w:t>
      </w:r>
      <w:r>
        <w:t>and</w:t>
      </w:r>
      <w:r w:rsidR="00E938BB">
        <w:t xml:space="preserve"> all medium to large employers in Canada to report on employment equity targets through mandatory </w:t>
      </w:r>
      <w:r w:rsidR="00E938BB">
        <w:lastRenderedPageBreak/>
        <w:t>annual report</w:t>
      </w:r>
      <w:r>
        <w:t>s (</w:t>
      </w:r>
      <w:proofErr w:type="spellStart"/>
      <w:r>
        <w:t>Agocs</w:t>
      </w:r>
      <w:proofErr w:type="spellEnd"/>
      <w:r>
        <w:t xml:space="preserve"> 2012)</w:t>
      </w:r>
      <w:r w:rsidR="00E938BB">
        <w:t>.</w:t>
      </w:r>
      <w:r>
        <w:t xml:space="preserve">  </w:t>
      </w:r>
      <w:r w:rsidR="00483165">
        <w:t>Federally regulated</w:t>
      </w:r>
      <w:r>
        <w:t xml:space="preserve"> companies with 100 employees or more are required to report annually</w:t>
      </w:r>
      <w:r w:rsidR="00E938BB">
        <w:t xml:space="preserve"> </w:t>
      </w:r>
      <w:r>
        <w:t>the representation of designated minority groups.  At the same time, the federal government is also responsible for the Federal Contractors Program (FCP).  External federal contractors with 100 employees or more and sell goods or services to the federal government valued at $200,000 or more are similarly required to apply LEEP in order to bid on contracts.  Although federal contractors are still under the same compliance reviews as federally regulated companies, they are not required to submit annual reports (</w:t>
      </w:r>
      <w:proofErr w:type="spellStart"/>
      <w:r w:rsidR="00713F3D">
        <w:t>Agocs</w:t>
      </w:r>
      <w:proofErr w:type="spellEnd"/>
      <w:r w:rsidR="00713F3D">
        <w:t xml:space="preserve"> 2012</w:t>
      </w:r>
      <w:r>
        <w:t xml:space="preserve">, 260).  </w:t>
      </w:r>
    </w:p>
    <w:p w14:paraId="663FAD01" w14:textId="425019D4" w:rsidR="00516991" w:rsidRDefault="00516991" w:rsidP="00516991">
      <w:pPr>
        <w:ind w:firstLine="720"/>
      </w:pPr>
      <w:r>
        <w:t xml:space="preserve">In 1995, amendments to the </w:t>
      </w:r>
      <w:r w:rsidR="00D77D55">
        <w:t>EEA</w:t>
      </w:r>
      <w:r>
        <w:t xml:space="preserve"> expanded the scope to include the federal public service, commissions and agencies.  This includes the Royal Canadian Mounted Police (RCMP), The Canadian Armed Forces, and the Canadian Security Intelligence Service (CSIS).  Under the </w:t>
      </w:r>
      <w:r w:rsidR="00713F3D">
        <w:t xml:space="preserve">1995 revised </w:t>
      </w:r>
      <w:r>
        <w:t>LEEP, numerical targets are provided based on factors that consider under-representation, growth of qualified persons and expected growth and turnover of the workforce (Turgeon and Gagnon 2013, 44).  Furthermore, employers are expected to develop employment equity plans which specify measures to eliminate employment barriers and numerical goals for the hiring and promotion of people in the identified at-risk groups.  Importantly, the</w:t>
      </w:r>
      <w:r w:rsidR="00F70297">
        <w:t xml:space="preserve"> LEEP </w:t>
      </w:r>
      <w:r>
        <w:t xml:space="preserve">continues to espouse merit as a core principle (Turgeon and Gagnon, 2013) and avoids being understood as a hiring quota.  </w:t>
      </w:r>
      <w:r w:rsidR="000555CA">
        <w:t>Employment decisions</w:t>
      </w:r>
      <w:r>
        <w:t>, like hiring and promotion, are still based on experience and qualifications as outlined in Canada’s Civil Service Act (1908).  In this way, similar to the Official Languages Act (1969) and Franco-Canada, being a visible minority is considered a component of merit</w:t>
      </w:r>
      <w:r w:rsidR="00713F3D">
        <w:t xml:space="preserve"> (PSAC 2018)</w:t>
      </w:r>
      <w:r>
        <w:t xml:space="preserve">.  The following </w:t>
      </w:r>
      <w:r w:rsidR="00020E8C">
        <w:t xml:space="preserve">section </w:t>
      </w:r>
      <w:r w:rsidR="006230C7">
        <w:t xml:space="preserve">reviews </w:t>
      </w:r>
      <w:r>
        <w:t>the progress</w:t>
      </w:r>
      <w:r w:rsidR="00D77D55">
        <w:t xml:space="preserve"> </w:t>
      </w:r>
      <w:r w:rsidR="006230C7">
        <w:t xml:space="preserve">on </w:t>
      </w:r>
      <w:r w:rsidR="00D77D55">
        <w:t>EEA/LEEP</w:t>
      </w:r>
      <w:r>
        <w:t xml:space="preserve"> as a</w:t>
      </w:r>
      <w:r w:rsidR="006230C7">
        <w:t xml:space="preserve"> policy </w:t>
      </w:r>
      <w:r>
        <w:t xml:space="preserve">instrument </w:t>
      </w:r>
      <w:r w:rsidR="006230C7">
        <w:t xml:space="preserve">to achieve </w:t>
      </w:r>
      <w:r>
        <w:t>representative bureaucracy</w:t>
      </w:r>
      <w:r w:rsidR="002D440B">
        <w:t xml:space="preserve"> for visible minorities</w:t>
      </w:r>
      <w:r w:rsidR="006230C7">
        <w:t xml:space="preserve"> in the Canadian public service</w:t>
      </w:r>
      <w:r w:rsidR="002D440B">
        <w:t>.</w:t>
      </w:r>
    </w:p>
    <w:p w14:paraId="06AE902F" w14:textId="77777777" w:rsidR="006230C7" w:rsidRPr="00E938BB" w:rsidRDefault="006230C7" w:rsidP="00516991">
      <w:pPr>
        <w:ind w:firstLine="720"/>
      </w:pPr>
    </w:p>
    <w:p w14:paraId="4EB7B814" w14:textId="46DD08CD" w:rsidR="00E938BB" w:rsidRDefault="00516991" w:rsidP="00516991">
      <w:pPr>
        <w:jc w:val="center"/>
        <w:rPr>
          <w:b/>
        </w:rPr>
      </w:pPr>
      <w:r>
        <w:rPr>
          <w:b/>
        </w:rPr>
        <w:t>PROGRESS IN CANADIAN REPRESENTATIVE BUREAUCRACY</w:t>
      </w:r>
    </w:p>
    <w:p w14:paraId="28A7796B" w14:textId="04E8E4F6" w:rsidR="00EE01E1" w:rsidRPr="00EE01E1" w:rsidRDefault="00EE01E1" w:rsidP="00EE01E1">
      <w:pPr>
        <w:rPr>
          <w:b/>
        </w:rPr>
      </w:pPr>
      <w:r>
        <w:rPr>
          <w:b/>
        </w:rPr>
        <w:t>Data Analysis</w:t>
      </w:r>
    </w:p>
    <w:p w14:paraId="25151998" w14:textId="6A20BB42" w:rsidR="00D26247" w:rsidRDefault="000961DD" w:rsidP="00D54672">
      <w:r>
        <w:t xml:space="preserve">The success of employment equity in Canada in achieving proportionate representation for </w:t>
      </w:r>
      <w:r w:rsidR="00555905">
        <w:t xml:space="preserve">visible minorities </w:t>
      </w:r>
      <w:r w:rsidR="00D77D55">
        <w:t>is determined through representation in the public service relative to their availability rates in the labour market</w:t>
      </w:r>
      <w:r w:rsidR="00D26247">
        <w:rPr>
          <w:rStyle w:val="FootnoteReference"/>
        </w:rPr>
        <w:footnoteReference w:id="2"/>
      </w:r>
      <w:r w:rsidR="00D26247">
        <w:t>.</w:t>
      </w:r>
      <w:r w:rsidR="00D77D55">
        <w:t xml:space="preserve">.  </w:t>
      </w:r>
      <w:r w:rsidR="00D26247">
        <w:t>This measure reflects the</w:t>
      </w:r>
      <w:r w:rsidR="00555905">
        <w:t xml:space="preserve"> </w:t>
      </w:r>
      <w:r w:rsidR="004A1842">
        <w:t xml:space="preserve">utilization rate or employment </w:t>
      </w:r>
      <w:r w:rsidR="00555905">
        <w:t xml:space="preserve">of visible minorities in the workforce.  </w:t>
      </w:r>
      <w:r w:rsidR="00683F07">
        <w:t xml:space="preserve">Our focal aim is to </w:t>
      </w:r>
      <w:r w:rsidR="00D77D55">
        <w:t xml:space="preserve">examine the effectiveness of LEEP as </w:t>
      </w:r>
      <w:r w:rsidR="00D77D55">
        <w:lastRenderedPageBreak/>
        <w:t>a</w:t>
      </w:r>
      <w:r w:rsidR="00243D3E">
        <w:t xml:space="preserve">n </w:t>
      </w:r>
      <w:r w:rsidR="00483165">
        <w:t>instrument</w:t>
      </w:r>
      <w:r w:rsidR="00243D3E">
        <w:t xml:space="preserve"> </w:t>
      </w:r>
      <w:r w:rsidR="00F70297">
        <w:t xml:space="preserve">aimed at </w:t>
      </w:r>
      <w:r w:rsidR="00D77D55">
        <w:t>increasing Canadian representative bureaucracy using data from the EEA annual reports</w:t>
      </w:r>
      <w:r w:rsidR="00EE01E1">
        <w:t xml:space="preserve"> </w:t>
      </w:r>
      <w:r w:rsidR="00F70297">
        <w:t xml:space="preserve">from </w:t>
      </w:r>
      <w:r w:rsidR="00EE01E1">
        <w:t xml:space="preserve">1987 </w:t>
      </w:r>
      <w:r w:rsidR="00F70297">
        <w:t xml:space="preserve">to </w:t>
      </w:r>
      <w:r w:rsidR="00EE01E1">
        <w:t>2017</w:t>
      </w:r>
      <w:r w:rsidR="009B5DD8">
        <w:t>.</w:t>
      </w:r>
      <w:r w:rsidR="00D77D55">
        <w:t xml:space="preserve"> Data from 1987 was selected as the benchmark year </w:t>
      </w:r>
      <w:r w:rsidR="009B5DD8">
        <w:t>(inception</w:t>
      </w:r>
      <w:r w:rsidR="004A1842">
        <w:t xml:space="preserve"> reporting</w:t>
      </w:r>
      <w:r w:rsidR="009B5DD8">
        <w:t xml:space="preserve">) </w:t>
      </w:r>
      <w:r w:rsidR="00D77D55">
        <w:t xml:space="preserve">given that employment equity was officially </w:t>
      </w:r>
      <w:r w:rsidR="009B5DD8">
        <w:t xml:space="preserve">implemented </w:t>
      </w:r>
      <w:r w:rsidR="00D77D55">
        <w:t xml:space="preserve">in 1986, allowing for a first </w:t>
      </w:r>
      <w:r w:rsidR="00C706A7">
        <w:t>full year</w:t>
      </w:r>
      <w:r w:rsidR="00D77D55">
        <w:t xml:space="preserve"> of reporting.  </w:t>
      </w:r>
      <w:r w:rsidR="00EE01E1">
        <w:t xml:space="preserve">Data from 2017 (2018 reporting year) reflects the most current reporting available from Labour Canada.  </w:t>
      </w:r>
      <w:r w:rsidR="00982A60">
        <w:t>There w</w:t>
      </w:r>
      <w:r w:rsidR="00EE01E1">
        <w:t>as</w:t>
      </w:r>
      <w:r w:rsidR="00982A60">
        <w:t xml:space="preserve"> </w:t>
      </w:r>
      <w:r w:rsidR="008C4485">
        <w:t>no data on labour market availability rate from Statistics Canada between 1987 and 1991.</w:t>
      </w:r>
      <w:r w:rsidR="00982A60">
        <w:t xml:space="preserve">  </w:t>
      </w:r>
      <w:r w:rsidR="004A1842">
        <w:t xml:space="preserve">Data collected from 1996 onward reflected a revised EEA (1995) which mandated data collection.  </w:t>
      </w:r>
      <w:r w:rsidR="0053424D">
        <w:t xml:space="preserve">Trends beginning from 1987 to 2000 are </w:t>
      </w:r>
      <w:r w:rsidR="004A1842">
        <w:t xml:space="preserve">not available </w:t>
      </w:r>
      <w:r w:rsidR="0053424D">
        <w:t xml:space="preserve">as </w:t>
      </w:r>
      <w:r w:rsidR="004A1842">
        <w:t xml:space="preserve">separate </w:t>
      </w:r>
      <w:r w:rsidR="0053424D">
        <w:t xml:space="preserve">data was not collected until 2001 for the public sector.  </w:t>
      </w:r>
      <w:r w:rsidR="00EE01E1">
        <w:t>Furthermore,</w:t>
      </w:r>
      <w:r w:rsidR="00982A60">
        <w:t xml:space="preserve"> data collected from 1996 onward</w:t>
      </w:r>
      <w:r w:rsidR="004A1842">
        <w:t>s</w:t>
      </w:r>
      <w:r w:rsidR="00982A60">
        <w:t xml:space="preserve"> reflected an EEA that </w:t>
      </w:r>
      <w:r w:rsidR="00D77D55">
        <w:t>is strengthened by empowering the Canadian Human Rights Commission to conduct on-site compliance reviews and the creation of the Employment Equity Tribunal to issue ‘court-enforceable’ orders (</w:t>
      </w:r>
      <w:proofErr w:type="spellStart"/>
      <w:r w:rsidR="00D77D55">
        <w:t>Agocs</w:t>
      </w:r>
      <w:proofErr w:type="spellEnd"/>
      <w:r w:rsidR="00D77D55">
        <w:t xml:space="preserve"> 2002; Jain</w:t>
      </w:r>
      <w:r w:rsidR="00DD774D">
        <w:t xml:space="preserve"> and Lawler 2004</w:t>
      </w:r>
      <w:r w:rsidR="00D77D55">
        <w:t>).</w:t>
      </w:r>
      <w:r w:rsidR="00982A60">
        <w:t xml:space="preserve">  </w:t>
      </w:r>
      <w:r w:rsidR="007D40BA">
        <w:t>Table 1</w:t>
      </w:r>
      <w:r w:rsidR="00D54672">
        <w:t xml:space="preserve"> shows the representation of visible minorities </w:t>
      </w:r>
      <w:r w:rsidR="00C908FC">
        <w:t xml:space="preserve">in the public </w:t>
      </w:r>
      <w:r w:rsidR="00D54672">
        <w:t xml:space="preserve">relative to </w:t>
      </w:r>
      <w:r w:rsidR="00C908FC">
        <w:t xml:space="preserve">their </w:t>
      </w:r>
      <w:r w:rsidR="00D54672">
        <w:t xml:space="preserve">availability </w:t>
      </w:r>
      <w:r w:rsidR="00C908FC">
        <w:t xml:space="preserve">rate </w:t>
      </w:r>
      <w:r w:rsidR="00D54672">
        <w:t xml:space="preserve">in the labour market.  Table 2 shows the representation of visible minorities in the public service </w:t>
      </w:r>
      <w:r w:rsidR="00C908FC">
        <w:t xml:space="preserve">vis-à-vis </w:t>
      </w:r>
      <w:r w:rsidR="00D54672">
        <w:t>private</w:t>
      </w:r>
      <w:r w:rsidR="00C908FC">
        <w:t xml:space="preserve"> sector</w:t>
      </w:r>
      <w:r w:rsidR="00D54672">
        <w:t>.</w:t>
      </w:r>
      <w:r w:rsidR="00C908FC">
        <w:t xml:space="preserve">  In Figure 1, we graph the representation of visible minorities in both the public and private sectors, with their availability rates in the labour market to show trends and gaps in the representation of visible minorities in public service.</w:t>
      </w:r>
    </w:p>
    <w:p w14:paraId="1895F301" w14:textId="77777777" w:rsidR="00D26247" w:rsidRDefault="00D26247" w:rsidP="00C86EF3"/>
    <w:p w14:paraId="05146C89" w14:textId="77777777" w:rsidR="00F70297" w:rsidRDefault="00F70297" w:rsidP="00C86EF3"/>
    <w:p w14:paraId="6B8C9366" w14:textId="597334EC" w:rsidR="00EE01E1" w:rsidRDefault="00EE01E1" w:rsidP="00C86EF3">
      <w:pPr>
        <w:rPr>
          <w:b/>
          <w:bCs/>
        </w:rPr>
      </w:pPr>
      <w:r>
        <w:rPr>
          <w:b/>
          <w:bCs/>
        </w:rPr>
        <w:t xml:space="preserve">Representation of Visible Minorities in the </w:t>
      </w:r>
      <w:r w:rsidR="008B641A">
        <w:rPr>
          <w:b/>
          <w:bCs/>
        </w:rPr>
        <w:t xml:space="preserve">Canadian </w:t>
      </w:r>
      <w:proofErr w:type="spellStart"/>
      <w:r w:rsidR="008B641A">
        <w:rPr>
          <w:b/>
          <w:bCs/>
        </w:rPr>
        <w:t>Publicv</w:t>
      </w:r>
      <w:proofErr w:type="spellEnd"/>
      <w:r w:rsidR="008B641A">
        <w:rPr>
          <w:b/>
          <w:bCs/>
        </w:rPr>
        <w:t xml:space="preserve"> Service</w:t>
      </w:r>
    </w:p>
    <w:p w14:paraId="614E79A9" w14:textId="6B7FCF69" w:rsidR="00672392" w:rsidRDefault="00D54672" w:rsidP="00503125">
      <w:r>
        <w:t xml:space="preserve">Figure 1 shows </w:t>
      </w:r>
      <w:r w:rsidR="008C4485">
        <w:t xml:space="preserve">that, between 2001 and the most recent reporting </w:t>
      </w:r>
      <w:proofErr w:type="gramStart"/>
      <w:r w:rsidR="008C4485">
        <w:t xml:space="preserve">year,  </w:t>
      </w:r>
      <w:r w:rsidR="008B641A">
        <w:t>the</w:t>
      </w:r>
      <w:proofErr w:type="gramEnd"/>
      <w:r w:rsidR="008B641A">
        <w:t xml:space="preserve"> </w:t>
      </w:r>
      <w:r w:rsidR="008C4485">
        <w:t xml:space="preserve">representation of </w:t>
      </w:r>
      <w:r>
        <w:t xml:space="preserve">visible minorities in the Canadian public service </w:t>
      </w:r>
      <w:r w:rsidR="008C4485">
        <w:t xml:space="preserve">are </w:t>
      </w:r>
      <w:r>
        <w:t>consistently below</w:t>
      </w:r>
      <w:r w:rsidR="00503125">
        <w:t xml:space="preserve"> </w:t>
      </w:r>
      <w:r w:rsidR="008C4485">
        <w:t xml:space="preserve">their </w:t>
      </w:r>
      <w:r w:rsidR="00503125">
        <w:t xml:space="preserve">labour market availability </w:t>
      </w:r>
      <w:r w:rsidR="008C4485">
        <w:t xml:space="preserve">rates </w:t>
      </w:r>
      <w:r w:rsidR="00503125">
        <w:t xml:space="preserve">and </w:t>
      </w:r>
      <w:r w:rsidR="008B641A">
        <w:t xml:space="preserve">also </w:t>
      </w:r>
      <w:r w:rsidR="00697AB1">
        <w:t xml:space="preserve">below that of </w:t>
      </w:r>
      <w:r w:rsidR="00503125">
        <w:t>the private</w:t>
      </w:r>
      <w:r w:rsidR="008C4485">
        <w:t xml:space="preserve"> sector</w:t>
      </w:r>
      <w:r w:rsidR="00503125">
        <w:t xml:space="preserve">.  </w:t>
      </w:r>
    </w:p>
    <w:p w14:paraId="38725EFF" w14:textId="77777777" w:rsidR="0053424D" w:rsidRDefault="0053424D" w:rsidP="0053424D">
      <w:pPr>
        <w:jc w:val="center"/>
      </w:pPr>
    </w:p>
    <w:p w14:paraId="5B2B3A05" w14:textId="26A29075" w:rsidR="0053424D" w:rsidRDefault="0053424D" w:rsidP="0053424D">
      <w:pPr>
        <w:jc w:val="center"/>
      </w:pPr>
      <w:r>
        <w:t>[INSERT FIGURE 1 ABOUT HERE]</w:t>
      </w:r>
    </w:p>
    <w:p w14:paraId="400CE40A" w14:textId="474BF54D" w:rsidR="00672392" w:rsidRDefault="00672392" w:rsidP="00281776"/>
    <w:p w14:paraId="480E62F0" w14:textId="1B7B92D3" w:rsidR="00D54672" w:rsidRDefault="0015049F" w:rsidP="00281776">
      <w:r>
        <w:t>Despite this trend,</w:t>
      </w:r>
      <w:r w:rsidR="00503125">
        <w:t xml:space="preserve"> the representation </w:t>
      </w:r>
      <w:r w:rsidR="008C4485">
        <w:t>gap</w:t>
      </w:r>
      <w:r w:rsidR="008B641A">
        <w:t>s</w:t>
      </w:r>
      <w:r w:rsidR="008C4485">
        <w:t xml:space="preserve"> </w:t>
      </w:r>
      <w:r w:rsidR="00503125">
        <w:t>in the public service and labour market ha</w:t>
      </w:r>
      <w:r w:rsidR="008B641A">
        <w:t>ve</w:t>
      </w:r>
      <w:r w:rsidR="00503125">
        <w:t xml:space="preserve"> decreased over time</w:t>
      </w:r>
      <w:r>
        <w:t xml:space="preserve"> (see Table 1)</w:t>
      </w:r>
      <w:r w:rsidR="00503125">
        <w:t xml:space="preserve">.  In 2001, the </w:t>
      </w:r>
      <w:r w:rsidR="008C4485">
        <w:t xml:space="preserve">representation gap </w:t>
      </w:r>
      <w:r w:rsidR="00503125">
        <w:t>between visible minorit</w:t>
      </w:r>
      <w:r w:rsidR="008C4485">
        <w:t>ies</w:t>
      </w:r>
      <w:r w:rsidR="00503125">
        <w:t xml:space="preserve"> and </w:t>
      </w:r>
      <w:r w:rsidR="008B641A">
        <w:t xml:space="preserve">their </w:t>
      </w:r>
      <w:r w:rsidR="00503125">
        <w:t>labour market a</w:t>
      </w:r>
      <w:r w:rsidR="008C4485">
        <w:t>vailability</w:t>
      </w:r>
      <w:r w:rsidR="00697AB1" w:rsidDel="00697AB1">
        <w:t xml:space="preserve"> </w:t>
      </w:r>
      <w:r w:rsidR="008B641A">
        <w:t xml:space="preserve">rate </w:t>
      </w:r>
      <w:r w:rsidR="00503125">
        <w:t>was 6.5%</w:t>
      </w:r>
      <w:r w:rsidR="00697AB1">
        <w:t xml:space="preserve"> and it</w:t>
      </w:r>
      <w:r w:rsidR="008C4485">
        <w:t xml:space="preserve"> has narrowed to </w:t>
      </w:r>
      <w:r>
        <w:t>2.7%</w:t>
      </w:r>
      <w:r w:rsidR="00697AB1">
        <w:t xml:space="preserve"> by 2017</w:t>
      </w:r>
      <w:r>
        <w:t xml:space="preserve">.  </w:t>
      </w:r>
      <w:r w:rsidR="008B641A">
        <w:t xml:space="preserve">Between </w:t>
      </w:r>
      <w:r>
        <w:t xml:space="preserve">2001 </w:t>
      </w:r>
      <w:r w:rsidR="008B641A">
        <w:t xml:space="preserve">and 2004, </w:t>
      </w:r>
      <w:r>
        <w:t>t</w:t>
      </w:r>
      <w:r w:rsidR="001533D0">
        <w:t xml:space="preserve">he </w:t>
      </w:r>
      <w:r w:rsidR="008B641A">
        <w:t xml:space="preserve">gaps were </w:t>
      </w:r>
      <w:r w:rsidR="001533D0">
        <w:t>6.5%, 5.8%, 5.2% and 4.8%</w:t>
      </w:r>
      <w:r w:rsidR="008B641A">
        <w:t xml:space="preserve"> respectively</w:t>
      </w:r>
      <w:r w:rsidR="001533D0">
        <w:t xml:space="preserve">.  Although there was a spike in between the years of 2008 </w:t>
      </w:r>
      <w:r w:rsidR="008B641A">
        <w:t xml:space="preserve">and </w:t>
      </w:r>
      <w:r w:rsidR="001533D0">
        <w:t xml:space="preserve">2013, the </w:t>
      </w:r>
      <w:r w:rsidR="008B641A">
        <w:t xml:space="preserve">gaps </w:t>
      </w:r>
      <w:r w:rsidR="001533D0">
        <w:t>decrease</w:t>
      </w:r>
      <w:r w:rsidR="008B641A">
        <w:t>d</w:t>
      </w:r>
      <w:r w:rsidR="001533D0">
        <w:t xml:space="preserve"> </w:t>
      </w:r>
      <w:r w:rsidR="008B641A">
        <w:t xml:space="preserve">again between 2014 and 2017 from </w:t>
      </w:r>
      <w:r w:rsidR="001533D0">
        <w:t>4.6%, 4.0%, 3.3% and 2.7%</w:t>
      </w:r>
      <w:r w:rsidR="008B641A">
        <w:t xml:space="preserve"> respectively</w:t>
      </w:r>
      <w:r w:rsidR="001533D0">
        <w:t xml:space="preserve">.  The spike in difference between the years of 2008 to </w:t>
      </w:r>
      <w:r w:rsidR="001533D0">
        <w:lastRenderedPageBreak/>
        <w:t xml:space="preserve">2013 was substantial.  </w:t>
      </w:r>
      <w:r w:rsidR="008069AC">
        <w:t xml:space="preserve">The gaps </w:t>
      </w:r>
      <w:r w:rsidR="001533D0">
        <w:t xml:space="preserve">increased from 3.8% in 2007 to 6.1% in </w:t>
      </w:r>
      <w:proofErr w:type="gramStart"/>
      <w:r w:rsidR="001533D0">
        <w:t>2008</w:t>
      </w:r>
      <w:r w:rsidR="008069AC">
        <w:t>, but</w:t>
      </w:r>
      <w:proofErr w:type="gramEnd"/>
      <w:r w:rsidR="008069AC">
        <w:t xml:space="preserve"> </w:t>
      </w:r>
      <w:r w:rsidR="001533D0">
        <w:t xml:space="preserve">decreased thereafter until another spike in 2012-2013 from 3.2% in 2012 to 5.2 in 2013.  This can potentially </w:t>
      </w:r>
      <w:r w:rsidR="008B641A">
        <w:t xml:space="preserve">be </w:t>
      </w:r>
      <w:r w:rsidR="001533D0">
        <w:t xml:space="preserve">explained by the electoral win of </w:t>
      </w:r>
      <w:r w:rsidR="008B641A">
        <w:t xml:space="preserve">Conservative </w:t>
      </w:r>
      <w:r w:rsidR="001533D0">
        <w:t xml:space="preserve">Prime Minister Stephen Harper between the years of 2006 to 2015, who </w:t>
      </w:r>
      <w:r w:rsidR="00BE6FC7">
        <w:t>openly held negative opinions towards LEEP</w:t>
      </w:r>
      <w:r w:rsidR="008069AC">
        <w:t xml:space="preserve"> (Thompson, 2013)</w:t>
      </w:r>
      <w:r w:rsidR="00BE6FC7">
        <w:t>.</w:t>
      </w:r>
    </w:p>
    <w:p w14:paraId="3EC29BCC" w14:textId="461B84D9" w:rsidR="00BE6FC7" w:rsidRDefault="00BE6FC7" w:rsidP="00281776"/>
    <w:p w14:paraId="6844461C" w14:textId="458C9904" w:rsidR="00BE6FC7" w:rsidRDefault="00BE6FC7" w:rsidP="00BE6FC7">
      <w:pPr>
        <w:jc w:val="center"/>
      </w:pPr>
      <w:r>
        <w:t>[INSERT TABLE 1 ABOUT HERE]</w:t>
      </w:r>
    </w:p>
    <w:p w14:paraId="28C45C57" w14:textId="77777777" w:rsidR="00BE6FC7" w:rsidRDefault="00BE6FC7" w:rsidP="00281776"/>
    <w:p w14:paraId="461D63E8" w14:textId="74404B33" w:rsidR="007B2DA2" w:rsidRDefault="00BE6FC7" w:rsidP="00281776">
      <w:r>
        <w:t xml:space="preserve">Conversely, Table 2 shows that the </w:t>
      </w:r>
      <w:r w:rsidR="000D5758">
        <w:t xml:space="preserve">representation gap </w:t>
      </w:r>
      <w:r>
        <w:t xml:space="preserve">between the public service and private sector </w:t>
      </w:r>
      <w:r w:rsidR="008B641A">
        <w:t xml:space="preserve">which </w:t>
      </w:r>
      <w:r>
        <w:t xml:space="preserve">increased over time.  In 2001, the </w:t>
      </w:r>
      <w:r w:rsidR="008B641A">
        <w:t xml:space="preserve">representation gap of </w:t>
      </w:r>
      <w:r>
        <w:t>visible minorit</w:t>
      </w:r>
      <w:r w:rsidR="008B641A">
        <w:t>ies</w:t>
      </w:r>
      <w:r>
        <w:t xml:space="preserve"> </w:t>
      </w:r>
      <w:r w:rsidR="008B641A">
        <w:t xml:space="preserve">in </w:t>
      </w:r>
      <w:r>
        <w:t xml:space="preserve">public service representation (6.1%) and private sector (11.7%) was 5.6%.  Comparatively in 2017, the </w:t>
      </w:r>
      <w:r w:rsidR="008B641A">
        <w:t>gap increased to</w:t>
      </w:r>
      <w:r w:rsidR="008B641A" w:rsidDel="008B641A">
        <w:t xml:space="preserve"> </w:t>
      </w:r>
      <w:r>
        <w:t xml:space="preserve">7.7%.  This </w:t>
      </w:r>
      <w:r w:rsidR="008B641A">
        <w:t xml:space="preserve">widening </w:t>
      </w:r>
      <w:r>
        <w:t xml:space="preserve">trend has increased consistently over time.  </w:t>
      </w:r>
      <w:r w:rsidR="008B641A">
        <w:t xml:space="preserve">Between </w:t>
      </w:r>
      <w:r>
        <w:t>2001</w:t>
      </w:r>
      <w:r w:rsidR="008B641A">
        <w:t xml:space="preserve"> to 2007, the gaps were </w:t>
      </w:r>
      <w:r>
        <w:t>5.6%, 5.4%</w:t>
      </w:r>
      <w:r w:rsidR="008B641A">
        <w:t xml:space="preserve">, </w:t>
      </w:r>
      <w:r>
        <w:t>5.3%</w:t>
      </w:r>
      <w:r w:rsidR="008B641A">
        <w:t xml:space="preserve">, </w:t>
      </w:r>
      <w:r>
        <w:t xml:space="preserve">6.0%, and 6.3%.  </w:t>
      </w:r>
      <w:r w:rsidR="008B641A">
        <w:t xml:space="preserve">Between </w:t>
      </w:r>
      <w:r>
        <w:t>2006</w:t>
      </w:r>
      <w:r w:rsidR="008B641A">
        <w:t xml:space="preserve"> and </w:t>
      </w:r>
      <w:r>
        <w:t>2007, the</w:t>
      </w:r>
      <w:r w:rsidR="008B641A">
        <w:t xml:space="preserve"> gap </w:t>
      </w:r>
      <w:r>
        <w:t>spike</w:t>
      </w:r>
      <w:r w:rsidR="008B641A">
        <w:t>d</w:t>
      </w:r>
      <w:r>
        <w:t xml:space="preserve"> to 7.1%.  This </w:t>
      </w:r>
      <w:r w:rsidR="008B641A">
        <w:t xml:space="preserve">gap </w:t>
      </w:r>
      <w:r>
        <w:t xml:space="preserve">grew steadily </w:t>
      </w:r>
      <w:r w:rsidR="008B641A">
        <w:t xml:space="preserve">to </w:t>
      </w:r>
      <w:r>
        <w:t>the most recent reporting year</w:t>
      </w:r>
      <w:r w:rsidR="008B641A">
        <w:t xml:space="preserve"> for 2018</w:t>
      </w:r>
      <w:r>
        <w:t xml:space="preserve">.  </w:t>
      </w:r>
    </w:p>
    <w:p w14:paraId="2A93C592" w14:textId="020F41B1" w:rsidR="007B2DA2" w:rsidRDefault="007B2DA2" w:rsidP="00281776"/>
    <w:p w14:paraId="29A9FA6C" w14:textId="7D49E176" w:rsidR="007B2DA2" w:rsidRDefault="007B2DA2" w:rsidP="007B2DA2">
      <w:pPr>
        <w:jc w:val="center"/>
      </w:pPr>
      <w:r>
        <w:t>[INSERT TABLE 2 ABOUT HERE]</w:t>
      </w:r>
    </w:p>
    <w:p w14:paraId="1E57DA00" w14:textId="16CB604A" w:rsidR="007B2DA2" w:rsidRDefault="007B2DA2" w:rsidP="00281776"/>
    <w:p w14:paraId="1339C3C3" w14:textId="4443242B" w:rsidR="007B2DA2" w:rsidRDefault="007B2DA2" w:rsidP="00281776">
      <w:r>
        <w:t xml:space="preserve">The </w:t>
      </w:r>
      <w:r w:rsidR="00E84736">
        <w:t>representation gap</w:t>
      </w:r>
      <w:r w:rsidR="00E45504">
        <w:t>s</w:t>
      </w:r>
      <w:r w:rsidR="00E84736">
        <w:t xml:space="preserve"> </w:t>
      </w:r>
      <w:r w:rsidR="00E45504">
        <w:t xml:space="preserve">for visible minorities in the </w:t>
      </w:r>
      <w:r>
        <w:t xml:space="preserve">public service </w:t>
      </w:r>
      <w:r w:rsidR="00E45504">
        <w:t xml:space="preserve">and private sector relative to their </w:t>
      </w:r>
      <w:r>
        <w:t xml:space="preserve">labour market </w:t>
      </w:r>
      <w:r w:rsidR="00E45504">
        <w:t>availability reversed over time</w:t>
      </w:r>
      <w:r>
        <w:t xml:space="preserve">.  Figure 1 shows that between 1993 to 2002, both visible minority representation in the public service and in the private sector were below visible minority labour market availability; however, from 2003 onwards the </w:t>
      </w:r>
      <w:r w:rsidR="00E45504">
        <w:t xml:space="preserve">representation </w:t>
      </w:r>
      <w:r>
        <w:t xml:space="preserve">of visible </w:t>
      </w:r>
      <w:r w:rsidR="00E45504">
        <w:t xml:space="preserve">minorities </w:t>
      </w:r>
      <w:r>
        <w:t xml:space="preserve">in the </w:t>
      </w:r>
      <w:r w:rsidR="00E45504">
        <w:t xml:space="preserve">private </w:t>
      </w:r>
      <w:r>
        <w:t xml:space="preserve">sector </w:t>
      </w:r>
      <w:r w:rsidR="00E45504">
        <w:t xml:space="preserve">exceeded their </w:t>
      </w:r>
      <w:r>
        <w:t>labour market availability</w:t>
      </w:r>
      <w:r w:rsidR="00585495">
        <w:t xml:space="preserve"> </w:t>
      </w:r>
      <w:r w:rsidR="00E45504">
        <w:t xml:space="preserve">rates </w:t>
      </w:r>
      <w:r w:rsidR="00585495">
        <w:t xml:space="preserve">(see Table 3).  This trend continues to increase steadily with visible minority representation </w:t>
      </w:r>
      <w:r w:rsidR="00E45504">
        <w:t xml:space="preserve">moving from </w:t>
      </w:r>
      <w:r w:rsidR="00585495">
        <w:t xml:space="preserve">0.1% higher than the labour market </w:t>
      </w:r>
      <w:r w:rsidR="00E45504">
        <w:t xml:space="preserve">availability </w:t>
      </w:r>
      <w:r w:rsidR="00585495">
        <w:t>in 2003 to being 5.0% higher in 2017.</w:t>
      </w:r>
      <w:r w:rsidR="00E45504">
        <w:t xml:space="preserve">  </w:t>
      </w:r>
    </w:p>
    <w:p w14:paraId="7F11F93C" w14:textId="77777777" w:rsidR="00585495" w:rsidRDefault="00585495" w:rsidP="00281776"/>
    <w:p w14:paraId="296E5BAE" w14:textId="2097E58D" w:rsidR="00585495" w:rsidRDefault="00585495" w:rsidP="00585495">
      <w:pPr>
        <w:jc w:val="center"/>
      </w:pPr>
      <w:r>
        <w:t>[INSERT TABLE 3 ABOUT HERE]</w:t>
      </w:r>
    </w:p>
    <w:p w14:paraId="026A6118" w14:textId="6F935E51" w:rsidR="00BE6FC7" w:rsidRDefault="00BE6FC7" w:rsidP="00281776"/>
    <w:p w14:paraId="359EDB0C" w14:textId="77777777" w:rsidR="009F5A92" w:rsidRPr="00E46BF2" w:rsidRDefault="009F5A92" w:rsidP="009F5A92">
      <w:pPr>
        <w:rPr>
          <w:b/>
          <w:bCs/>
        </w:rPr>
      </w:pPr>
      <w:r>
        <w:rPr>
          <w:b/>
          <w:bCs/>
        </w:rPr>
        <w:t>Improving the Outcomes for Visible Minorities</w:t>
      </w:r>
    </w:p>
    <w:p w14:paraId="03963C72" w14:textId="4C3F3E53" w:rsidR="00585495" w:rsidRDefault="00585495" w:rsidP="00281776">
      <w:r>
        <w:t xml:space="preserve">A review of three decades (1987-2017) finds employment equity to be effective in improving the representative outcomes of visible minorities into the Canadian public service.  </w:t>
      </w:r>
      <w:r w:rsidR="00E45504">
        <w:t xml:space="preserve">Despite this trend, the </w:t>
      </w:r>
      <w:r w:rsidR="00395C3C">
        <w:t>r</w:t>
      </w:r>
      <w:r>
        <w:t xml:space="preserve">epresentation of visible minorities in the public service consistently falls below both </w:t>
      </w:r>
      <w:r w:rsidR="00395C3C">
        <w:lastRenderedPageBreak/>
        <w:t xml:space="preserve">the </w:t>
      </w:r>
      <w:r>
        <w:t xml:space="preserve">labour market availability and </w:t>
      </w:r>
      <w:r w:rsidR="00395C3C">
        <w:t xml:space="preserve">their </w:t>
      </w:r>
      <w:r>
        <w:t>private sector</w:t>
      </w:r>
      <w:r w:rsidR="00395C3C">
        <w:t xml:space="preserve"> counterparts</w:t>
      </w:r>
      <w:r>
        <w:t xml:space="preserve">.  Furthermore, the </w:t>
      </w:r>
      <w:r w:rsidR="00395C3C">
        <w:t xml:space="preserve">gap </w:t>
      </w:r>
      <w:r>
        <w:t>between representation in the public service and the private sector widen</w:t>
      </w:r>
      <w:r w:rsidR="00E45504">
        <w:t>s</w:t>
      </w:r>
      <w:r>
        <w:t xml:space="preserve"> over time.  This </w:t>
      </w:r>
      <w:r w:rsidR="009F5A92">
        <w:t xml:space="preserve">coincides with research showing visible minorities are more attracted to private sector </w:t>
      </w:r>
      <w:r w:rsidR="00E45504">
        <w:t xml:space="preserve">employment over </w:t>
      </w:r>
      <w:r w:rsidR="009F5A92">
        <w:t xml:space="preserve">public service (Ng and Gossett, 2013; Ng and Sears, 2015). </w:t>
      </w:r>
      <w:r>
        <w:t xml:space="preserve"> Nevertheless, the representation rates of visible minorities in the public service track</w:t>
      </w:r>
      <w:r w:rsidR="00395C3C">
        <w:t>s</w:t>
      </w:r>
      <w:r>
        <w:t xml:space="preserve"> </w:t>
      </w:r>
      <w:r w:rsidR="00E45504">
        <w:t xml:space="preserve">the rising </w:t>
      </w:r>
      <w:r>
        <w:t xml:space="preserve">rates of </w:t>
      </w:r>
      <w:r w:rsidR="00395C3C">
        <w:t xml:space="preserve">their </w:t>
      </w:r>
      <w:r>
        <w:t xml:space="preserve">availability </w:t>
      </w:r>
      <w:r w:rsidR="00395C3C">
        <w:t xml:space="preserve">rates </w:t>
      </w:r>
      <w:r>
        <w:t xml:space="preserve">in the labour market.  </w:t>
      </w:r>
      <w:r w:rsidR="00395C3C">
        <w:t>Thus, d</w:t>
      </w:r>
      <w:r>
        <w:t xml:space="preserve">espite consistently </w:t>
      </w:r>
      <w:r w:rsidR="00E45504">
        <w:t xml:space="preserve">reporting </w:t>
      </w:r>
      <w:r>
        <w:t>below labour market availability</w:t>
      </w:r>
      <w:r w:rsidR="00395C3C">
        <w:t xml:space="preserve"> rates</w:t>
      </w:r>
      <w:r>
        <w:t xml:space="preserve">, the </w:t>
      </w:r>
      <w:r w:rsidR="00E45504">
        <w:t xml:space="preserve">representation gap for visible minorities in public service </w:t>
      </w:r>
      <w:r>
        <w:t xml:space="preserve">has decreased over time.  This suggests </w:t>
      </w:r>
      <w:r w:rsidR="00395C3C">
        <w:t xml:space="preserve">that </w:t>
      </w:r>
      <w:r>
        <w:t>representat</w:t>
      </w:r>
      <w:r w:rsidR="00551007">
        <w:t xml:space="preserve">ion of </w:t>
      </w:r>
      <w:r>
        <w:t>visible minorities in the Canadian public service continue to increase</w:t>
      </w:r>
      <w:r w:rsidR="00551007">
        <w:t xml:space="preserve"> as they join the labo</w:t>
      </w:r>
      <w:r w:rsidR="00395C3C">
        <w:t>u</w:t>
      </w:r>
      <w:r w:rsidR="00551007">
        <w:t>r market</w:t>
      </w:r>
      <w:r>
        <w:t>.  This also coincides with the most recent reporting which finds the number of visible minorities in the public service h</w:t>
      </w:r>
      <w:r w:rsidR="00395C3C">
        <w:t>a</w:t>
      </w:r>
      <w:r>
        <w:t>s increased the most out of all four EEA design</w:t>
      </w:r>
      <w:r w:rsidR="00551007">
        <w:t>at</w:t>
      </w:r>
      <w:r>
        <w:t xml:space="preserve">ed groups between the years of 2014-2017 (Treasury Board of Canada Secretariat, 2019).  </w:t>
      </w:r>
    </w:p>
    <w:p w14:paraId="668487E5" w14:textId="5D1F494A" w:rsidR="00173763" w:rsidRDefault="00471D41" w:rsidP="00E46BF2">
      <w:bookmarkStart w:id="2" w:name="_Hlk22224944"/>
      <w:r>
        <w:tab/>
        <w:t xml:space="preserve">Senate reports and public service self-studies </w:t>
      </w:r>
      <w:r w:rsidR="004C24F2">
        <w:t xml:space="preserve">reveal some </w:t>
      </w:r>
      <w:r>
        <w:t>fur</w:t>
      </w:r>
      <w:r w:rsidR="004C24F2">
        <w:t>ther trends beyond</w:t>
      </w:r>
      <w:r>
        <w:t xml:space="preserve"> representative outcomes of visible minorities.</w:t>
      </w:r>
      <w:r w:rsidR="004C24F2">
        <w:t xml:space="preserve">  </w:t>
      </w:r>
      <w:r w:rsidR="00E23654">
        <w:t xml:space="preserve">Although rates of promotion </w:t>
      </w:r>
      <w:r w:rsidR="00790D5C">
        <w:t>are</w:t>
      </w:r>
      <w:r w:rsidR="00E23654">
        <w:t xml:space="preserve"> higher than representation in the public service and </w:t>
      </w:r>
      <w:r w:rsidR="00243D3E">
        <w:t xml:space="preserve">they </w:t>
      </w:r>
      <w:r w:rsidR="00E23654">
        <w:t xml:space="preserve">are leaving at a lower rate, visible minorities continue to be underrepresented in </w:t>
      </w:r>
      <w:r w:rsidR="00E56121">
        <w:t>higher-</w:t>
      </w:r>
      <w:r w:rsidR="00E23654">
        <w:t>level position</w:t>
      </w:r>
      <w:r w:rsidR="00E56121">
        <w:t>s</w:t>
      </w:r>
      <w:r w:rsidR="00E23654">
        <w:t xml:space="preserve"> and salary categories and slightly overrepresented in lower salary categories (Standing Senate Committee 2013).  Furthermore, visible minorities</w:t>
      </w:r>
      <w:r w:rsidR="00FC4BE8">
        <w:t xml:space="preserve"> (along with </w:t>
      </w:r>
      <w:r w:rsidR="00E23654">
        <w:t>women and Aboriginal peoples</w:t>
      </w:r>
      <w:r w:rsidR="00FC4BE8">
        <w:t>)</w:t>
      </w:r>
      <w:r w:rsidR="00E23654">
        <w:t xml:space="preserve"> are mo</w:t>
      </w:r>
      <w:r w:rsidR="00676250">
        <w:t>re</w:t>
      </w:r>
      <w:r w:rsidR="00E23654">
        <w:t xml:space="preserve"> likely to be hired on a term basis </w:t>
      </w:r>
      <w:r w:rsidR="00676250">
        <w:t xml:space="preserve">and less likely to be </w:t>
      </w:r>
      <w:r w:rsidR="00E23654">
        <w:t xml:space="preserve">recruited into continuous or indeterminate </w:t>
      </w:r>
      <w:proofErr w:type="gramStart"/>
      <w:r w:rsidR="00E23654">
        <w:t>positions</w:t>
      </w:r>
      <w:r w:rsidR="00676250">
        <w:t>.</w:t>
      </w:r>
      <w:r w:rsidR="00E23654">
        <w:t>.</w:t>
      </w:r>
      <w:proofErr w:type="gramEnd"/>
      <w:r w:rsidR="00E23654">
        <w:t xml:space="preserve">  </w:t>
      </w:r>
      <w:r w:rsidR="009C5A54">
        <w:t>The perception of overall fairness of staffing process among visible minorities declined to 70% in 2011 from 74% in 2010.</w:t>
      </w:r>
      <w:r w:rsidR="00D45B4C">
        <w:t xml:space="preserve">  </w:t>
      </w:r>
      <w:r w:rsidR="00E23654">
        <w:t>At the same time, reported rates of harassment by visible minorities in the public service increased from 19% in 2013 to 22% in 2017.  Reported rates of discrimination also increased from 13% in 2013 to 19% in 2019, although these trends might be explained by increased representation in the workplace (Treasury Board of Canada Secretariat</w:t>
      </w:r>
      <w:r w:rsidR="00D45B4C">
        <w:t>,</w:t>
      </w:r>
      <w:r w:rsidR="00E23654">
        <w:t xml:space="preserve"> 2017).  </w:t>
      </w:r>
    </w:p>
    <w:p w14:paraId="2BB05F7E" w14:textId="7FEEBB3C" w:rsidR="00EE5D98" w:rsidRDefault="00E23654" w:rsidP="00EE5D98">
      <w:pPr>
        <w:ind w:firstLine="720"/>
      </w:pPr>
      <w:r>
        <w:t xml:space="preserve">Nevertheless, the </w:t>
      </w:r>
      <w:r w:rsidR="00243D3E">
        <w:t>f</w:t>
      </w:r>
      <w:r>
        <w:t xml:space="preserve">ederal government </w:t>
      </w:r>
      <w:r w:rsidR="00E56121">
        <w:t xml:space="preserve">continues </w:t>
      </w:r>
      <w:r>
        <w:t>to incorporate EEA considerations in resource planning.</w:t>
      </w:r>
      <w:r w:rsidR="00790D5C">
        <w:t xml:space="preserve">  Visible minorities in the public service are represented by the National Council for Visible Minorities.  Training, career development and advancement programs are also provided to support EEA groups </w:t>
      </w:r>
      <w:r w:rsidR="00E56121">
        <w:t xml:space="preserve">to </w:t>
      </w:r>
      <w:r w:rsidR="00790D5C">
        <w:t>advance</w:t>
      </w:r>
      <w:r w:rsidR="00790D5C" w:rsidRPr="007C65C1">
        <w:t>.  In 2017, of Canada’s 66 core public administration departments, 54 exceeded workforce availability of visible minorities in 2018 compared to 34 in 2017 (Treasury Board of Canada Secretariat 2019).  Ear</w:t>
      </w:r>
      <w:r w:rsidR="007C65C1">
        <w:t>n</w:t>
      </w:r>
      <w:r w:rsidR="00790D5C" w:rsidRPr="007C65C1">
        <w:t>ing</w:t>
      </w:r>
      <w:r w:rsidR="00790D5C">
        <w:t xml:space="preserve"> potential of visible minorities </w:t>
      </w:r>
      <w:r w:rsidR="00E56121">
        <w:t xml:space="preserve">has </w:t>
      </w:r>
      <w:r w:rsidR="00790D5C">
        <w:t xml:space="preserve">also increased.  In 2018, 17.9% of overall employee population earn 100, </w:t>
      </w:r>
      <w:r w:rsidR="00790D5C">
        <w:lastRenderedPageBreak/>
        <w:t>000 and over, with 15.3</w:t>
      </w:r>
      <w:proofErr w:type="gramStart"/>
      <w:r w:rsidR="00790D5C">
        <w:t xml:space="preserve">% </w:t>
      </w:r>
      <w:r w:rsidR="0021690A">
        <w:t xml:space="preserve"> of</w:t>
      </w:r>
      <w:proofErr w:type="gramEnd"/>
      <w:r w:rsidR="0021690A">
        <w:t xml:space="preserve"> those </w:t>
      </w:r>
      <w:r w:rsidR="00790D5C">
        <w:t xml:space="preserve">being visible minorities.  </w:t>
      </w:r>
      <w:r w:rsidR="000B3C00">
        <w:t xml:space="preserve">Civil </w:t>
      </w:r>
      <w:r w:rsidR="00FC4BE8">
        <w:t xml:space="preserve">servants </w:t>
      </w:r>
      <w:r w:rsidR="00790D5C">
        <w:t>who are visible minorities also tended to be</w:t>
      </w:r>
      <w:r w:rsidR="00F336B3">
        <w:t xml:space="preserve"> younger than </w:t>
      </w:r>
      <w:r w:rsidR="00E56121">
        <w:t xml:space="preserve">the </w:t>
      </w:r>
      <w:r w:rsidR="00F336B3">
        <w:t xml:space="preserve">overall </w:t>
      </w:r>
      <w:r w:rsidR="00FC4BE8">
        <w:t>Canadian workforce</w:t>
      </w:r>
      <w:r w:rsidR="00F336B3">
        <w:t>.  This reflects efforts in student recruitment where visible minorit</w:t>
      </w:r>
      <w:r w:rsidR="00E56121">
        <w:t>ies</w:t>
      </w:r>
      <w:r w:rsidR="00F336B3">
        <w:t xml:space="preserve"> are hired at far greater rates than other target groups.  For instance, visible minorities hired through the Federal Student Work Experience Program in 2015 was 19.17% compared to Aboriginals at 2.88% and those with disabilities at 2.02% (Treasury </w:t>
      </w:r>
      <w:r w:rsidR="00EE5D98">
        <w:t>Board of Canada Secretariat 2017).</w:t>
      </w:r>
    </w:p>
    <w:p w14:paraId="771B70E4" w14:textId="5E39B4F0" w:rsidR="00432747" w:rsidRDefault="00432747">
      <w:pPr>
        <w:ind w:firstLine="720"/>
      </w:pPr>
      <w:r>
        <w:t>In 2017, the Public Service Commission undertook the Name-Blind Recruitment Pilot Project to increase representation in the public service.  Name-blind recruitment removes candidates’ identifying factors, like age, address, experience, and education, that signals backgrounds (see Newbery 2018).  In this way, recruiters can make unbiased and merit-based decisions that give under-represented groups fair consideration.  The project used a sample of 2,226 applicants, including 685 visible minorities through 27 external hiring processes across 17 departments between April and October 2017 (see Public Service Commission 2018).  Results indicate that there is no net benefit or disadvantage of name-blind recruitment for visible minorities across occupational categories (scientific and professional, administrative and foreign service, technical and administrative support, and operational fields) (see also Evelyn 2018).  Yet, name-blind recruitment significantly reduces rates of being screened-in rate for overall number of non-visible minority candidates.  Taken together, the project did not find bias in recruitment of visible minorities but finds name-blind recruitment viable in increasing the capacity for representation of EEA groups.</w:t>
      </w:r>
    </w:p>
    <w:p w14:paraId="400D82A0" w14:textId="5F7753EF" w:rsidR="00C50407" w:rsidRDefault="00EE5D98" w:rsidP="00EE5D98">
      <w:r>
        <w:tab/>
        <w:t>EEA has influenced</w:t>
      </w:r>
      <w:r w:rsidR="00E430AB">
        <w:t xml:space="preserve"> overall</w:t>
      </w:r>
      <w:r>
        <w:t xml:space="preserve"> minority representation </w:t>
      </w:r>
      <w:r w:rsidR="00E430AB">
        <w:t>at the Senate among both the Senate Administration</w:t>
      </w:r>
      <w:r w:rsidR="00E430AB">
        <w:rPr>
          <w:rStyle w:val="FootnoteReference"/>
        </w:rPr>
        <w:footnoteReference w:id="3"/>
      </w:r>
      <w:r w:rsidR="007559EA">
        <w:t xml:space="preserve"> and appointed Senators</w:t>
      </w:r>
      <w:r w:rsidR="00DD2201">
        <w:rPr>
          <w:rStyle w:val="FootnoteReference"/>
        </w:rPr>
        <w:footnoteReference w:id="4"/>
      </w:r>
      <w:r w:rsidR="00D1310B">
        <w:t>.</w:t>
      </w:r>
      <w:r w:rsidR="00E430AB">
        <w:t xml:space="preserve"> </w:t>
      </w:r>
      <w:r>
        <w:t xml:space="preserve"> .  </w:t>
      </w:r>
      <w:r w:rsidR="00E349E3">
        <w:t>A Special</w:t>
      </w:r>
      <w:r>
        <w:t xml:space="preserve"> Subcommittee on Diversity was created in 2010 to review the Employment Equity Report 2006-2009, examine policies, and consider recruitment and retention to foster representation </w:t>
      </w:r>
      <w:r w:rsidR="006F679E">
        <w:t>at</w:t>
      </w:r>
      <w:r>
        <w:t xml:space="preserve"> the Senate (Senate Report 2012).  Recommendations included enforcing EEA compliance, </w:t>
      </w:r>
      <w:r w:rsidR="000C164B">
        <w:t xml:space="preserve">undertaking </w:t>
      </w:r>
      <w:r>
        <w:t xml:space="preserve">steps to reduce systemic barriers to representation, </w:t>
      </w:r>
      <w:r w:rsidR="000C164B">
        <w:t xml:space="preserve">ensuring </w:t>
      </w:r>
      <w:r>
        <w:t xml:space="preserve">open and clear advertising, recruitment and screening procedures, and </w:t>
      </w:r>
      <w:r w:rsidR="000C164B">
        <w:t xml:space="preserve">conducting </w:t>
      </w:r>
      <w:r>
        <w:t xml:space="preserve">thorough and regular review of EEA efforts </w:t>
      </w:r>
      <w:r w:rsidR="006F679E">
        <w:t>at</w:t>
      </w:r>
      <w:r>
        <w:t xml:space="preserve"> the Senate (Senate </w:t>
      </w:r>
      <w:r>
        <w:lastRenderedPageBreak/>
        <w:t xml:space="preserve">Report 2018).  </w:t>
      </w:r>
      <w:r w:rsidR="00945901">
        <w:t>Efforts have been successful, as a 2016 review of the Senate Administration finds</w:t>
      </w:r>
      <w:r>
        <w:t xml:space="preserve"> percentages of employees in all four EEA groups to have increased since 2009.  Percentages of EEA groups were equal or higher than those in the Public Service, except among Aboriginal </w:t>
      </w:r>
      <w:r w:rsidR="000C164B">
        <w:t>p</w:t>
      </w:r>
      <w:r>
        <w:t xml:space="preserve">eoples.  </w:t>
      </w:r>
      <w:r w:rsidR="007559EA">
        <w:t>This</w:t>
      </w:r>
      <w:r w:rsidR="00D1310B">
        <w:t xml:space="preserve"> coincid</w:t>
      </w:r>
      <w:r w:rsidR="007559EA">
        <w:t>ed</w:t>
      </w:r>
      <w:r w:rsidR="00E349E3">
        <w:t xml:space="preserve"> with Prime Minister Justin Trudeau’s mandate to increase</w:t>
      </w:r>
      <w:r w:rsidR="00E430AB">
        <w:t xml:space="preserve"> overall</w:t>
      </w:r>
      <w:r w:rsidR="00E349E3">
        <w:t xml:space="preserve"> diversity in the government</w:t>
      </w:r>
      <w:r w:rsidR="007559EA">
        <w:t>, as Trudeau’s 31 Senate appointments have increased representation visible minorities</w:t>
      </w:r>
      <w:r w:rsidR="006B0E0D">
        <w:t>, as well as women</w:t>
      </w:r>
      <w:r w:rsidR="007559EA">
        <w:t xml:space="preserve"> and Aboriginal populations.  Griffith (2017) </w:t>
      </w:r>
      <w:r w:rsidR="00A73E6E">
        <w:t xml:space="preserve">compared the resulting overall diversity of the Senate, the Canadian population and the House of Commons.  He found </w:t>
      </w:r>
      <w:r w:rsidR="006B0E0D">
        <w:t>visible minorities in both the Senate at 13.3% and the Commons at 13.9% were close to the overall population at 15.0%.  T</w:t>
      </w:r>
      <w:r w:rsidR="00A73E6E">
        <w:t xml:space="preserve">he Senate </w:t>
      </w:r>
      <w:r w:rsidR="006B0E0D">
        <w:t>was</w:t>
      </w:r>
      <w:r w:rsidR="00A73E6E">
        <w:t xml:space="preserve"> closer to gender parity at 40% compared to 50.4% of the overall population and 26.1% in the House of Commons.</w:t>
      </w:r>
      <w:r w:rsidR="006B0E0D">
        <w:t xml:space="preserve">  </w:t>
      </w:r>
      <w:r w:rsidR="00A73E6E">
        <w:t>While Aboriginal representation in the Senate at 5.7% exceeded both the House at 3.0% and the overall population at 4.3%.</w:t>
      </w:r>
    </w:p>
    <w:p w14:paraId="7EE11497" w14:textId="0506CA26" w:rsidR="00432747" w:rsidRDefault="00711551" w:rsidP="001D2507">
      <w:r>
        <w:t>Representation of visible minorities, however, is a continuous effort as gaps exist d</w:t>
      </w:r>
      <w:r w:rsidR="00C50407">
        <w:t>espite</w:t>
      </w:r>
      <w:r>
        <w:t xml:space="preserve"> marked</w:t>
      </w:r>
      <w:r w:rsidR="00C50407">
        <w:t xml:space="preserve"> improvements at the Senate.  T</w:t>
      </w:r>
      <w:r w:rsidR="00EE5D98">
        <w:t>he representation of visible minorities</w:t>
      </w:r>
      <w:r w:rsidR="006B0E0D">
        <w:t xml:space="preserve"> in the Senate Administration</w:t>
      </w:r>
      <w:r w:rsidR="00EE5D98">
        <w:t xml:space="preserve"> was below workforce availability in the National Capital Region</w:t>
      </w:r>
      <w:r w:rsidR="006B0E0D">
        <w:t>,</w:t>
      </w:r>
      <w:r w:rsidR="00EE5D98" w:rsidRPr="007655A8">
        <w:t xml:space="preserve"> </w:t>
      </w:r>
      <w:r w:rsidR="00EE5D98">
        <w:t xml:space="preserve">was below workforce availability nationally in administrative support, and below both workforce national and National Capital Region workforce availability </w:t>
      </w:r>
      <w:r w:rsidR="000C164B">
        <w:t xml:space="preserve">rates </w:t>
      </w:r>
      <w:r w:rsidR="00EE5D98">
        <w:t>in professional occupations (Senate Report 2018).</w:t>
      </w:r>
      <w:r w:rsidR="00D1310B">
        <w:t xml:space="preserve">  </w:t>
      </w:r>
      <w:r w:rsidR="006B0E0D">
        <w:t>When considering Aboriginal peoples, there were none in managerial occupational categories, was below national workforce availability in professional occupational categories, and below national workforce availability in skilled crafts and trades worker occupational category.</w:t>
      </w:r>
      <w:r w:rsidR="009E00DD">
        <w:t xml:space="preserve"> </w:t>
      </w:r>
      <w:r w:rsidR="00EE5D98">
        <w:t>Representation</w:t>
      </w:r>
      <w:r w:rsidR="00711A88">
        <w:t xml:space="preserve"> among appointed senators are</w:t>
      </w:r>
      <w:r w:rsidR="002B02BD">
        <w:t xml:space="preserve"> </w:t>
      </w:r>
      <w:r w:rsidR="006B0E0D">
        <w:t xml:space="preserve">similarly </w:t>
      </w:r>
      <w:r w:rsidR="00EE5D98">
        <w:t xml:space="preserve">limited </w:t>
      </w:r>
      <w:r w:rsidR="00711A88">
        <w:t>along</w:t>
      </w:r>
      <w:r w:rsidR="00D1310B">
        <w:t xml:space="preserve"> measures of</w:t>
      </w:r>
      <w:r w:rsidR="00EE5D98">
        <w:t xml:space="preserve"> education and occupatio</w:t>
      </w:r>
      <w:r w:rsidR="00D1310B">
        <w:t>n.  T</w:t>
      </w:r>
      <w:r w:rsidR="00EE5D98">
        <w:t xml:space="preserve">here are more senators with higher degrees and more senators with an activist background and </w:t>
      </w:r>
      <w:r w:rsidR="000C164B">
        <w:t xml:space="preserve">fewer </w:t>
      </w:r>
      <w:r w:rsidR="00EE5D98">
        <w:t xml:space="preserve">with a business background (Griffith 2017).  In 2016, 8.6% of senators </w:t>
      </w:r>
      <w:r w:rsidR="00F72DB8">
        <w:t xml:space="preserve">had </w:t>
      </w:r>
      <w:r w:rsidR="00EE5D98">
        <w:t xml:space="preserve">PhDs compared to 0.9% of the general population and 22.7% of senators </w:t>
      </w:r>
      <w:r w:rsidR="00F72DB8">
        <w:t xml:space="preserve">had </w:t>
      </w:r>
      <w:r w:rsidR="00EE5D98">
        <w:t xml:space="preserve">master’s degrees compared to 16.5% of the general population.  At the same time, 18.8% of senators had a legal background, 10.9% had an activist background, and 10.9% had a political background compared to 26.7% with a business background.  This potentially influences how the Senate responds to legislation and in its role as a </w:t>
      </w:r>
      <w:r w:rsidR="000C164B">
        <w:t xml:space="preserve">chamber for sober </w:t>
      </w:r>
      <w:r w:rsidR="00EE5D98">
        <w:t>second thought</w:t>
      </w:r>
      <w:r w:rsidR="00981387">
        <w:t xml:space="preserve"> as bureaucrats are understood to act consistently with their social demographic background (Meier and Morton 2015</w:t>
      </w:r>
      <w:r w:rsidR="00DD2201">
        <w:t>)</w:t>
      </w:r>
      <w:r w:rsidR="00EE5D98">
        <w:t>.</w:t>
      </w:r>
      <w:r>
        <w:t xml:space="preserve">  As such, </w:t>
      </w:r>
      <w:r w:rsidR="006B7792">
        <w:t xml:space="preserve">increasing the representation of visible minorities and other minorities requires consistent efforts.  This includes regular reviews of the </w:t>
      </w:r>
      <w:r w:rsidR="006B7792">
        <w:lastRenderedPageBreak/>
        <w:t>EEA by governmental bodies like the Subcommittee.  Recommendations like employment equity training plans for managers and staff at the Senate to encourage recruitment outside the National Capital Region and considerations of name-blind recruitment are worthwhile efforts to increase overall representation.</w:t>
      </w:r>
      <w:r w:rsidR="00EE5D98">
        <w:t xml:space="preserve">  </w:t>
      </w:r>
    </w:p>
    <w:bookmarkEnd w:id="2"/>
    <w:p w14:paraId="32B4EB1F" w14:textId="77777777" w:rsidR="00171F14" w:rsidRDefault="00171F14" w:rsidP="00171F14">
      <w:pPr>
        <w:jc w:val="center"/>
        <w:rPr>
          <w:b/>
        </w:rPr>
      </w:pPr>
      <w:r>
        <w:rPr>
          <w:b/>
        </w:rPr>
        <w:t>CONCLUSION</w:t>
      </w:r>
    </w:p>
    <w:p w14:paraId="61ACDCC0" w14:textId="2A8B1A52" w:rsidR="00171F14" w:rsidRDefault="00171F14" w:rsidP="00171F14">
      <w:pPr>
        <w:rPr>
          <w:bCs/>
        </w:rPr>
      </w:pPr>
      <w:r>
        <w:rPr>
          <w:bCs/>
        </w:rPr>
        <w:t>Canada has used multiculturalism as a political philosophy and a</w:t>
      </w:r>
      <w:r w:rsidR="00432747">
        <w:rPr>
          <w:bCs/>
        </w:rPr>
        <w:t xml:space="preserve"> </w:t>
      </w:r>
      <w:r>
        <w:rPr>
          <w:bCs/>
        </w:rPr>
        <w:t>public policy instrument to manage its increasing demographic diversity and increase representative bureaucracy.  Many western democracies have strategically used immigration to address issues of low fertility rates, ageing population and decreased workforces resulting in a</w:t>
      </w:r>
      <w:r w:rsidR="00F72DB8">
        <w:rPr>
          <w:bCs/>
        </w:rPr>
        <w:t xml:space="preserve"> continued growth in</w:t>
      </w:r>
      <w:r>
        <w:rPr>
          <w:bCs/>
        </w:rPr>
        <w:t xml:space="preserve"> demographic </w:t>
      </w:r>
      <w:proofErr w:type="gramStart"/>
      <w:r>
        <w:rPr>
          <w:bCs/>
        </w:rPr>
        <w:t>plurality</w:t>
      </w:r>
      <w:r w:rsidR="00F72DB8">
        <w:rPr>
          <w:bCs/>
        </w:rPr>
        <w:t>.</w:t>
      </w:r>
      <w:r>
        <w:rPr>
          <w:bCs/>
        </w:rPr>
        <w:t>.</w:t>
      </w:r>
      <w:proofErr w:type="gramEnd"/>
      <w:r>
        <w:rPr>
          <w:bCs/>
        </w:rPr>
        <w:t xml:space="preserve">  The resulting diversification of </w:t>
      </w:r>
      <w:r w:rsidR="00432747">
        <w:rPr>
          <w:bCs/>
        </w:rPr>
        <w:t>societies</w:t>
      </w:r>
      <w:r>
        <w:rPr>
          <w:bCs/>
        </w:rPr>
        <w:t xml:space="preserve"> and multiple fluid national identities pose challenges for national integration policies.  In Canada, this is expressed as a move from its Aboriginal, English and French roots towards a pluralistic demography that reflects immigration from Asia and the Middle East.  Canada has used multiculturalism as a political philosophy to manage such diversity by according recognition and positive accommodation to cultural minorities and diversities in ethnicity, language, culture and religion (see </w:t>
      </w:r>
      <w:proofErr w:type="spellStart"/>
      <w:r>
        <w:rPr>
          <w:bCs/>
        </w:rPr>
        <w:t>Kymlicka</w:t>
      </w:r>
      <w:proofErr w:type="spellEnd"/>
      <w:r>
        <w:rPr>
          <w:bCs/>
        </w:rPr>
        <w:t xml:space="preserve"> 1995, 2001).  At the same time, multiculturalism as </w:t>
      </w:r>
      <w:r w:rsidR="009258E1">
        <w:rPr>
          <w:bCs/>
        </w:rPr>
        <w:t xml:space="preserve">a </w:t>
      </w:r>
      <w:r>
        <w:rPr>
          <w:bCs/>
        </w:rPr>
        <w:t>public policy instrument ha</w:t>
      </w:r>
      <w:r w:rsidR="009258E1">
        <w:rPr>
          <w:bCs/>
        </w:rPr>
        <w:t>s</w:t>
      </w:r>
      <w:r>
        <w:rPr>
          <w:bCs/>
        </w:rPr>
        <w:t xml:space="preserve"> been used to attain representative bureaucracy, crucial to legitimize demographic</w:t>
      </w:r>
      <w:r w:rsidR="0036165E">
        <w:rPr>
          <w:bCs/>
        </w:rPr>
        <w:t>ally representative</w:t>
      </w:r>
      <w:r>
        <w:rPr>
          <w:bCs/>
        </w:rPr>
        <w:t xml:space="preserve"> governments through creating a responsive public service that reflects the demographic needs of its population</w:t>
      </w:r>
      <w:r w:rsidR="0036165E">
        <w:rPr>
          <w:bCs/>
        </w:rPr>
        <w:t xml:space="preserve"> at any given time</w:t>
      </w:r>
      <w:r>
        <w:rPr>
          <w:bCs/>
        </w:rPr>
        <w:t>.  An example of this is the Official Languages Act (1969) which remodelled the Canadian civil service as a bilingual institution, reflecting the linguistic diversity of Canada’s Anglo-Franco roots.</w:t>
      </w:r>
    </w:p>
    <w:p w14:paraId="3F9D9F72" w14:textId="780B1B93" w:rsidR="00171F14" w:rsidRDefault="00171F14" w:rsidP="00171F14">
      <w:r>
        <w:rPr>
          <w:bCs/>
        </w:rPr>
        <w:tab/>
        <w:t xml:space="preserve">This chapter </w:t>
      </w:r>
      <w:r w:rsidR="00863CD0">
        <w:rPr>
          <w:bCs/>
        </w:rPr>
        <w:t xml:space="preserve">examined </w:t>
      </w:r>
      <w:r>
        <w:rPr>
          <w:bCs/>
        </w:rPr>
        <w:t xml:space="preserve">the way </w:t>
      </w:r>
      <w:r w:rsidR="00F00E83">
        <w:rPr>
          <w:bCs/>
        </w:rPr>
        <w:t xml:space="preserve">the </w:t>
      </w:r>
      <w:r>
        <w:rPr>
          <w:bCs/>
        </w:rPr>
        <w:t xml:space="preserve">federal Employment Equity Act (EEA) (1986) (Legislated Employment Equity Program/LEEP) meets Canada’s </w:t>
      </w:r>
      <w:r w:rsidR="00432747">
        <w:rPr>
          <w:bCs/>
        </w:rPr>
        <w:t xml:space="preserve">increasing </w:t>
      </w:r>
      <w:r>
        <w:rPr>
          <w:bCs/>
        </w:rPr>
        <w:t>demographic diversity.  The EEA/LEEP required the federal public service and federally regulated Canadian employers to evaluate and report the representation of designated groups in the workforce – visible minorities, Aboriginal peoples, persons with disabilities and women.</w:t>
      </w:r>
      <w:r>
        <w:t xml:space="preserve">  EEA/LEEP has had a</w:t>
      </w:r>
      <w:r w:rsidR="00432747">
        <w:t xml:space="preserve"> positive </w:t>
      </w:r>
      <w:r>
        <w:t>impact on representative bureaucracy</w:t>
      </w:r>
      <w:r w:rsidR="00432747">
        <w:t>, however</w:t>
      </w:r>
      <w:r>
        <w:t xml:space="preserve"> visible minorities are found to be less </w:t>
      </w:r>
      <w:r w:rsidR="00432747">
        <w:t xml:space="preserve">attracted to </w:t>
      </w:r>
      <w:r>
        <w:t xml:space="preserve">public service due to negative perceptions.  At the same time, representation continued to be low for all EEA groups when compared to </w:t>
      </w:r>
      <w:r w:rsidR="002B02BD">
        <w:t xml:space="preserve">their labour market </w:t>
      </w:r>
      <w:r>
        <w:t xml:space="preserve">availabilities in the workforce.  Nevertheless, a review of three decades finds EEA/LEEP to be generally effective in improving the representative outcomes of visible minorities.  Rates of representation </w:t>
      </w:r>
      <w:r>
        <w:lastRenderedPageBreak/>
        <w:t xml:space="preserve">track rates of </w:t>
      </w:r>
      <w:r w:rsidR="002B02BD">
        <w:t xml:space="preserve">their </w:t>
      </w:r>
      <w:r>
        <w:t>availability in the labour market</w:t>
      </w:r>
      <w:r w:rsidR="009F5A92">
        <w:t xml:space="preserve"> with the difference consistently decreasing over time</w:t>
      </w:r>
      <w:r>
        <w:t xml:space="preserve">.  Furthermore, recent reporting shows the number of visible </w:t>
      </w:r>
      <w:proofErr w:type="gramStart"/>
      <w:r>
        <w:t>minorities  have</w:t>
      </w:r>
      <w:proofErr w:type="gramEnd"/>
      <w:r>
        <w:t xml:space="preserve"> increased the most out of all EEA groups between 2014 to 2017.</w:t>
      </w:r>
    </w:p>
    <w:p w14:paraId="00D0BB9B" w14:textId="77777777" w:rsidR="002B02BD" w:rsidRPr="00F90AF2" w:rsidRDefault="002B02BD" w:rsidP="00171F14"/>
    <w:p w14:paraId="48522548" w14:textId="4B60C52F" w:rsidR="00F01FD4" w:rsidRDefault="00E46BF2" w:rsidP="00F01FD4">
      <w:pPr>
        <w:rPr>
          <w:b/>
          <w:bCs/>
        </w:rPr>
      </w:pPr>
      <w:r>
        <w:rPr>
          <w:b/>
          <w:bCs/>
        </w:rPr>
        <w:t>Future of Employment Equity/ Legislated Employment Equity Program in Canada</w:t>
      </w:r>
    </w:p>
    <w:p w14:paraId="5A798C9D" w14:textId="1626C0B9" w:rsidR="00F336B3" w:rsidRPr="00F336B3" w:rsidRDefault="009258E1" w:rsidP="00F01FD4">
      <w:r>
        <w:t>R</w:t>
      </w:r>
      <w:r w:rsidR="00E56121">
        <w:t xml:space="preserve">epresentative </w:t>
      </w:r>
      <w:r w:rsidR="00F336B3">
        <w:t xml:space="preserve">bureaucracy </w:t>
      </w:r>
      <w:r w:rsidR="00173763">
        <w:t>is</w:t>
      </w:r>
      <w:r w:rsidR="00F336B3">
        <w:t xml:space="preserve"> recognized by the </w:t>
      </w:r>
      <w:r w:rsidR="00243D3E">
        <w:t>f</w:t>
      </w:r>
      <w:r w:rsidR="00F336B3">
        <w:t xml:space="preserve">ederal government as increasingly important considering trends in immigration.  </w:t>
      </w:r>
      <w:r w:rsidR="00173763">
        <w:t>It is projected that 3</w:t>
      </w:r>
      <w:r w:rsidR="00E56121">
        <w:t>0</w:t>
      </w:r>
      <w:r w:rsidR="00173763">
        <w:t>.0% of the Canadian population will be a visible minority in 2031 and 55.2% to 49.7% will either be an immigrant or a child of an immigrant by 2036 (</w:t>
      </w:r>
      <w:r w:rsidR="00E56121">
        <w:t>Statistics Canada</w:t>
      </w:r>
      <w:r w:rsidR="00173763">
        <w:t xml:space="preserve"> 2017).  Associated challenges are recognized.  For instance, efforts are made to increase employment opportunities for members of visible minority youth, enhanced support for language training to consider the linguistic profiles of visible minorities whose first languages are neither English nor French (Treasury Board of Canada Secretariat 2019).  At the same time, pilot projects are introduced to analyze the challenges visible minorities and newcomer women face in finding employment in Science, Technology, Engineering, and Mathematics (STEM).   </w:t>
      </w:r>
      <w:r w:rsidR="004D0B53">
        <w:t xml:space="preserve">Despite </w:t>
      </w:r>
      <w:r w:rsidR="003573F6">
        <w:t xml:space="preserve">its policy </w:t>
      </w:r>
      <w:r w:rsidR="004D0B53">
        <w:t xml:space="preserve">efficacy, </w:t>
      </w:r>
      <w:r w:rsidR="00173763">
        <w:t>EEA</w:t>
      </w:r>
      <w:r w:rsidR="003573F6">
        <w:t>/LEEP</w:t>
      </w:r>
      <w:r w:rsidR="00173763">
        <w:t xml:space="preserve"> </w:t>
      </w:r>
      <w:r w:rsidR="004D0B53">
        <w:t xml:space="preserve">has generated a lot of </w:t>
      </w:r>
      <w:r w:rsidR="00173763">
        <w:t xml:space="preserve">controversy.  </w:t>
      </w:r>
      <w:r w:rsidR="004D0B53" w:rsidRPr="004D0B53">
        <w:t xml:space="preserve"> </w:t>
      </w:r>
      <w:r w:rsidR="004D0B53">
        <w:t>It has been debated by those who understand employment equity as ineffective, violating principles of meritocracy, and causing reverse discrimination and backlash among Canadians (</w:t>
      </w:r>
      <w:proofErr w:type="spellStart"/>
      <w:r w:rsidR="004D0B53">
        <w:t>Bakan</w:t>
      </w:r>
      <w:proofErr w:type="spellEnd"/>
      <w:r w:rsidR="004D0B53">
        <w:t xml:space="preserve"> and Kobayashi 2007; </w:t>
      </w:r>
      <w:proofErr w:type="spellStart"/>
      <w:r w:rsidR="004D0B53">
        <w:t>Leck</w:t>
      </w:r>
      <w:proofErr w:type="spellEnd"/>
      <w:r w:rsidR="004D0B53">
        <w:t xml:space="preserve"> 2002; Ng and Wiesner 2007</w:t>
      </w:r>
      <w:r w:rsidR="003D266C">
        <w:t>; also see Lam and Ng 2020 for a review</w:t>
      </w:r>
      <w:r w:rsidR="004D0B53">
        <w:t xml:space="preserve">).  </w:t>
      </w:r>
      <w:r w:rsidR="00173763">
        <w:t xml:space="preserve">Nevertheless, </w:t>
      </w:r>
      <w:r w:rsidR="00173763" w:rsidRPr="007C65C1">
        <w:t>it appears to</w:t>
      </w:r>
      <w:r w:rsidR="007C65C1">
        <w:t xml:space="preserve"> be</w:t>
      </w:r>
      <w:r w:rsidR="00173763" w:rsidRPr="007C65C1">
        <w:t xml:space="preserve"> effective</w:t>
      </w:r>
      <w:r w:rsidR="00173763">
        <w:t xml:space="preserve"> in promoting equity and diversity in Canada’s public sector.</w:t>
      </w:r>
    </w:p>
    <w:p w14:paraId="6BF0CC82" w14:textId="77777777" w:rsidR="00F853A0" w:rsidRDefault="00F853A0" w:rsidP="00F853A0">
      <w:pPr>
        <w:ind w:firstLine="720"/>
      </w:pPr>
    </w:p>
    <w:p w14:paraId="0FE292A3" w14:textId="77777777" w:rsidR="00F853A0" w:rsidRDefault="00F853A0" w:rsidP="00F853A0">
      <w:pPr>
        <w:ind w:firstLine="720"/>
      </w:pPr>
    </w:p>
    <w:p w14:paraId="022030FD" w14:textId="77777777" w:rsidR="00F853A0" w:rsidRDefault="00F853A0" w:rsidP="00F853A0">
      <w:pPr>
        <w:ind w:firstLine="720"/>
      </w:pPr>
    </w:p>
    <w:p w14:paraId="57D3E04E" w14:textId="57D778F2" w:rsidR="00672392" w:rsidRDefault="00672392" w:rsidP="00704EF0">
      <w:pPr>
        <w:sectPr w:rsidR="00672392">
          <w:pgSz w:w="12240" w:h="15840"/>
          <w:pgMar w:top="1440" w:right="1440" w:bottom="1440" w:left="1440" w:header="708" w:footer="708" w:gutter="0"/>
          <w:cols w:space="708"/>
          <w:docGrid w:linePitch="360"/>
        </w:sectPr>
      </w:pPr>
    </w:p>
    <w:p w14:paraId="02152AF2" w14:textId="62F012FD" w:rsidR="00672392" w:rsidRDefault="00672392"/>
    <w:p w14:paraId="03DC1679" w14:textId="38758DF9" w:rsidR="00E46BF2" w:rsidRDefault="00E46BF2" w:rsidP="00704EF0"/>
    <w:p w14:paraId="54FE4991" w14:textId="66863790" w:rsidR="00F853A0" w:rsidRDefault="00F853A0" w:rsidP="00704EF0">
      <w:pPr>
        <w:jc w:val="center"/>
        <w:rPr>
          <w:b/>
        </w:rPr>
      </w:pPr>
    </w:p>
    <w:p w14:paraId="0A2E6C5B" w14:textId="10D452F7" w:rsidR="00F853A0" w:rsidRDefault="00F853A0" w:rsidP="00704EF0">
      <w:pPr>
        <w:jc w:val="center"/>
        <w:rPr>
          <w:b/>
        </w:rPr>
      </w:pPr>
    </w:p>
    <w:p w14:paraId="37A4E0EA" w14:textId="4061635F" w:rsidR="00F853A0" w:rsidRDefault="00F853A0" w:rsidP="00704EF0">
      <w:pPr>
        <w:jc w:val="center"/>
        <w:rPr>
          <w:b/>
        </w:rPr>
      </w:pPr>
    </w:p>
    <w:p w14:paraId="1E28C66B" w14:textId="64C5EE2B" w:rsidR="00F853A0" w:rsidRDefault="00F853A0" w:rsidP="00704EF0">
      <w:pPr>
        <w:jc w:val="center"/>
        <w:rPr>
          <w:b/>
        </w:rPr>
      </w:pPr>
    </w:p>
    <w:p w14:paraId="5B9AE0B9" w14:textId="5FAC0660" w:rsidR="00140DDE" w:rsidRDefault="00140DDE" w:rsidP="00704EF0">
      <w:pPr>
        <w:jc w:val="center"/>
        <w:rPr>
          <w:b/>
        </w:rPr>
      </w:pPr>
    </w:p>
    <w:p w14:paraId="657D83AA" w14:textId="77777777" w:rsidR="00140DDE" w:rsidRDefault="00140DDE" w:rsidP="00704EF0">
      <w:pPr>
        <w:jc w:val="center"/>
        <w:rPr>
          <w:b/>
        </w:rPr>
      </w:pPr>
    </w:p>
    <w:p w14:paraId="2DAF830E" w14:textId="5ACBA7C6" w:rsidR="00F853A0" w:rsidRPr="00F00E83" w:rsidRDefault="00F853A0" w:rsidP="00F853A0">
      <w:pPr>
        <w:rPr>
          <w:rFonts w:cs="Times New Roman"/>
          <w:b/>
          <w:szCs w:val="24"/>
        </w:rPr>
        <w:sectPr w:rsidR="00F853A0" w:rsidRPr="00F00E83" w:rsidSect="00672392">
          <w:pgSz w:w="15840" w:h="12240" w:orient="landscape"/>
          <w:pgMar w:top="1440" w:right="1440" w:bottom="1440" w:left="1440" w:header="708" w:footer="708" w:gutter="0"/>
          <w:cols w:space="708"/>
          <w:docGrid w:linePitch="360"/>
        </w:sectPr>
      </w:pPr>
    </w:p>
    <w:p w14:paraId="0F2DE6B5" w14:textId="271E5F2D" w:rsidR="0088203E" w:rsidRPr="00F00E83" w:rsidRDefault="0088203E" w:rsidP="00F853A0">
      <w:pPr>
        <w:jc w:val="center"/>
        <w:rPr>
          <w:rFonts w:cs="Times New Roman"/>
          <w:szCs w:val="24"/>
        </w:rPr>
      </w:pPr>
      <w:r w:rsidRPr="00F00E83">
        <w:rPr>
          <w:rFonts w:cs="Times New Roman"/>
          <w:szCs w:val="24"/>
        </w:rPr>
        <w:lastRenderedPageBreak/>
        <w:t>Refer</w:t>
      </w:r>
      <w:r w:rsidR="00F853A0" w:rsidRPr="00F00E83">
        <w:rPr>
          <w:rFonts w:cs="Times New Roman"/>
          <w:szCs w:val="24"/>
        </w:rPr>
        <w:t>e</w:t>
      </w:r>
      <w:r w:rsidRPr="00F00E83">
        <w:rPr>
          <w:rFonts w:cs="Times New Roman"/>
          <w:szCs w:val="24"/>
        </w:rPr>
        <w:t>nces</w:t>
      </w:r>
    </w:p>
    <w:p w14:paraId="166A4975" w14:textId="0D1CC02A" w:rsidR="003D5B90" w:rsidRPr="006D6E62" w:rsidRDefault="003D5B90" w:rsidP="003D5B90">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Abella</w:t>
      </w:r>
      <w:proofErr w:type="spellEnd"/>
      <w:r w:rsidRPr="006D6E62">
        <w:rPr>
          <w:rFonts w:cs="Times New Roman"/>
          <w:color w:val="222222"/>
          <w:szCs w:val="24"/>
          <w:shd w:val="clear" w:color="auto" w:fill="FFFFFF"/>
        </w:rPr>
        <w:t>, R. S. (1984). Equality in employment: A Royal Commission report: General summary. Commission on Equality in Employment.</w:t>
      </w:r>
      <w:r w:rsidR="0090462C">
        <w:rPr>
          <w:rFonts w:cs="Times New Roman"/>
          <w:color w:val="222222"/>
          <w:szCs w:val="24"/>
          <w:shd w:val="clear" w:color="auto" w:fill="FFFFFF"/>
        </w:rPr>
        <w:t xml:space="preserve"> Canadian Government Publishing Centre. </w:t>
      </w:r>
    </w:p>
    <w:p w14:paraId="0690B9A4" w14:textId="77777777" w:rsidR="003D5B90" w:rsidRPr="006D6E62" w:rsidRDefault="003D5B90" w:rsidP="003D5B90">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Agocs</w:t>
      </w:r>
      <w:proofErr w:type="spellEnd"/>
      <w:r w:rsidRPr="006D6E62">
        <w:rPr>
          <w:rFonts w:cs="Times New Roman"/>
          <w:color w:val="222222"/>
          <w:szCs w:val="24"/>
          <w:shd w:val="clear" w:color="auto" w:fill="FFFFFF"/>
        </w:rPr>
        <w:t>, C. (2002). Canada’s employment equity legislation and policy, 1987-2000: The gap between policy and practice. International Journal of Manpower, 23(3), 256-276.</w:t>
      </w:r>
    </w:p>
    <w:p w14:paraId="792E7B87" w14:textId="77777777" w:rsidR="003D5B90" w:rsidRPr="006D6E62" w:rsidRDefault="003D5B90" w:rsidP="003D5B90">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Agocs</w:t>
      </w:r>
      <w:proofErr w:type="spellEnd"/>
      <w:r w:rsidRPr="006D6E62">
        <w:rPr>
          <w:rFonts w:cs="Times New Roman"/>
          <w:color w:val="222222"/>
          <w:szCs w:val="24"/>
          <w:shd w:val="clear" w:color="auto" w:fill="FFFFFF"/>
        </w:rPr>
        <w:t xml:space="preserve">, C. (2012). Representative </w:t>
      </w:r>
      <w:proofErr w:type="gramStart"/>
      <w:r w:rsidRPr="006D6E62">
        <w:rPr>
          <w:rFonts w:cs="Times New Roman"/>
          <w:color w:val="222222"/>
          <w:szCs w:val="24"/>
          <w:shd w:val="clear" w:color="auto" w:fill="FFFFFF"/>
        </w:rPr>
        <w:t>Bureaucracy?.</w:t>
      </w:r>
      <w:proofErr w:type="gramEnd"/>
      <w:r w:rsidRPr="006D6E62">
        <w:rPr>
          <w:rFonts w:cs="Times New Roman"/>
          <w:color w:val="222222"/>
          <w:szCs w:val="24"/>
          <w:shd w:val="clear" w:color="auto" w:fill="FFFFFF"/>
        </w:rPr>
        <w:t> Employment equity in the public service of Canada. Retrieved from the Canadian Centre for Policy.</w:t>
      </w:r>
    </w:p>
    <w:p w14:paraId="0745D7AB" w14:textId="5D67833F"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B and B Commission. (1965). Report of the Royal Commission on Bilingualism and Biculturalism. </w:t>
      </w:r>
      <w:r w:rsidR="0090462C">
        <w:rPr>
          <w:rFonts w:cs="Times New Roman"/>
          <w:color w:val="222222"/>
          <w:szCs w:val="24"/>
          <w:shd w:val="clear" w:color="auto" w:fill="FFFFFF"/>
        </w:rPr>
        <w:t>Queens Printer.</w:t>
      </w:r>
      <w:r w:rsidRPr="006D6E62">
        <w:rPr>
          <w:rFonts w:cs="Times New Roman"/>
          <w:color w:val="222222"/>
          <w:szCs w:val="24"/>
          <w:shd w:val="clear" w:color="auto" w:fill="FFFFFF"/>
        </w:rPr>
        <w:t xml:space="preserve"> </w:t>
      </w:r>
      <w:r w:rsidR="0090462C">
        <w:rPr>
          <w:rFonts w:cs="Times New Roman"/>
          <w:color w:val="222222"/>
          <w:szCs w:val="24"/>
          <w:shd w:val="clear" w:color="auto" w:fill="FFFFFF"/>
        </w:rPr>
        <w:t xml:space="preserve">Retrieved from: </w:t>
      </w:r>
      <w:hyperlink r:id="rId8" w:history="1">
        <w:r w:rsidR="0090462C" w:rsidRPr="00462F82">
          <w:rPr>
            <w:rStyle w:val="Hyperlink"/>
            <w:rFonts w:cs="Times New Roman"/>
            <w:szCs w:val="24"/>
          </w:rPr>
          <w:t>http://publications.gc.ca/collections/collection_2014/bcp-pco/Z1-1963-1-5-1-1-eng.pdf</w:t>
        </w:r>
      </w:hyperlink>
    </w:p>
    <w:p w14:paraId="1D6F64B5" w14:textId="77777777" w:rsidR="003D5B90" w:rsidRPr="006D6E62" w:rsidRDefault="003D5B90" w:rsidP="003D5B90">
      <w:pPr>
        <w:ind w:left="720" w:hanging="720"/>
        <w:rPr>
          <w:rFonts w:cs="Times New Roman"/>
          <w:color w:val="222222"/>
          <w:szCs w:val="24"/>
          <w:shd w:val="clear" w:color="auto" w:fill="FFFFFF"/>
        </w:rPr>
      </w:pPr>
      <w:proofErr w:type="spellStart"/>
      <w:r w:rsidRPr="000B6FBE">
        <w:rPr>
          <w:rFonts w:cs="Times New Roman"/>
          <w:color w:val="222222"/>
          <w:szCs w:val="24"/>
          <w:shd w:val="clear" w:color="auto" w:fill="FFFFFF"/>
        </w:rPr>
        <w:t>Bakan</w:t>
      </w:r>
      <w:proofErr w:type="spellEnd"/>
      <w:r w:rsidRPr="000B6FBE">
        <w:rPr>
          <w:rFonts w:cs="Times New Roman"/>
          <w:color w:val="222222"/>
          <w:szCs w:val="24"/>
          <w:shd w:val="clear" w:color="auto" w:fill="FFFFFF"/>
        </w:rPr>
        <w:t xml:space="preserve">, A. B., &amp; Kobayashi, A. (2007). </w:t>
      </w:r>
      <w:r w:rsidRPr="006D6E62">
        <w:rPr>
          <w:rFonts w:cs="Times New Roman"/>
          <w:color w:val="222222"/>
          <w:szCs w:val="24"/>
          <w:shd w:val="clear" w:color="auto" w:fill="FFFFFF"/>
        </w:rPr>
        <w:t>‘The Sky Didn’t Fall’: Organizing to Combat Racism in the Workplace-The Case of the Alliance for Employment Equity. Race, racialization and antiracism in Canada and beyond, 51-78.</w:t>
      </w:r>
    </w:p>
    <w:p w14:paraId="55774653"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Banting, K., &amp; </w:t>
      </w:r>
      <w:proofErr w:type="spellStart"/>
      <w:r w:rsidRPr="006D6E62">
        <w:rPr>
          <w:rFonts w:cs="Times New Roman"/>
          <w:color w:val="222222"/>
          <w:szCs w:val="24"/>
          <w:shd w:val="clear" w:color="auto" w:fill="FFFFFF"/>
        </w:rPr>
        <w:t>Kymlicka</w:t>
      </w:r>
      <w:proofErr w:type="spellEnd"/>
      <w:r w:rsidRPr="006D6E62">
        <w:rPr>
          <w:rFonts w:cs="Times New Roman"/>
          <w:color w:val="222222"/>
          <w:szCs w:val="24"/>
          <w:shd w:val="clear" w:color="auto" w:fill="FFFFFF"/>
        </w:rPr>
        <w:t>, W. (2010). Canadian multiculturalism: Global anxieties and local debates. British Journal of Canadian Studies, 23(1), 43-72.</w:t>
      </w:r>
    </w:p>
    <w:p w14:paraId="5BD1BE6F"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Berry, J. W. (1997). Immigration, acculturation, and adaptation. Applied psychology, 46(1), 5-34.</w:t>
      </w:r>
    </w:p>
    <w:p w14:paraId="188391D3"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Berry, J. W. (1998). Social psychological costs and benefits of multiculturalism: A view from Canada. </w:t>
      </w:r>
      <w:proofErr w:type="spellStart"/>
      <w:r w:rsidRPr="006D6E62">
        <w:rPr>
          <w:rFonts w:cs="Times New Roman"/>
          <w:color w:val="222222"/>
          <w:szCs w:val="24"/>
          <w:shd w:val="clear" w:color="auto" w:fill="FFFFFF"/>
        </w:rPr>
        <w:t>Trames</w:t>
      </w:r>
      <w:proofErr w:type="spellEnd"/>
      <w:r w:rsidRPr="006D6E62">
        <w:rPr>
          <w:rFonts w:cs="Times New Roman"/>
          <w:color w:val="222222"/>
          <w:szCs w:val="24"/>
          <w:shd w:val="clear" w:color="auto" w:fill="FFFFFF"/>
        </w:rPr>
        <w:t>, 2(3), 209-233.</w:t>
      </w:r>
    </w:p>
    <w:p w14:paraId="0A7E1BE7"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Berry, J. W., Phinney, J. S., Sam, D. L., &amp; </w:t>
      </w:r>
      <w:proofErr w:type="spellStart"/>
      <w:r w:rsidRPr="006D6E62">
        <w:rPr>
          <w:rFonts w:cs="Times New Roman"/>
          <w:color w:val="222222"/>
          <w:szCs w:val="24"/>
          <w:shd w:val="clear" w:color="auto" w:fill="FFFFFF"/>
        </w:rPr>
        <w:t>Vedder</w:t>
      </w:r>
      <w:proofErr w:type="spellEnd"/>
      <w:r w:rsidRPr="006D6E62">
        <w:rPr>
          <w:rFonts w:cs="Times New Roman"/>
          <w:color w:val="222222"/>
          <w:szCs w:val="24"/>
          <w:shd w:val="clear" w:color="auto" w:fill="FFFFFF"/>
        </w:rPr>
        <w:t>, P. (2006). Immigrant youth: Acculturation, identity, and adaptation. Applied psychology, 55(3), 303-332.</w:t>
      </w:r>
    </w:p>
    <w:p w14:paraId="23013500" w14:textId="77777777" w:rsidR="003D5B90" w:rsidRPr="006D6E62" w:rsidRDefault="003D5B90" w:rsidP="003D5B90">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Bloemraad</w:t>
      </w:r>
      <w:proofErr w:type="spellEnd"/>
      <w:r w:rsidRPr="006D6E62">
        <w:rPr>
          <w:rFonts w:cs="Times New Roman"/>
          <w:color w:val="222222"/>
          <w:szCs w:val="24"/>
          <w:shd w:val="clear" w:color="auto" w:fill="FFFFFF"/>
        </w:rPr>
        <w:t>, I. (2006). Becoming a citizen in the United States and Canada: Structured mobilization and immigrant political incorporation. Social Forces, 85(2), 667-695.</w:t>
      </w:r>
    </w:p>
    <w:p w14:paraId="005B10CE" w14:textId="77777777" w:rsidR="003D5B90" w:rsidRPr="006D6E62" w:rsidRDefault="003D5B90" w:rsidP="003D5B90">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Bloemraad</w:t>
      </w:r>
      <w:proofErr w:type="spellEnd"/>
      <w:r w:rsidRPr="006D6E62">
        <w:rPr>
          <w:rFonts w:cs="Times New Roman"/>
          <w:color w:val="222222"/>
          <w:szCs w:val="24"/>
          <w:shd w:val="clear" w:color="auto" w:fill="FFFFFF"/>
        </w:rPr>
        <w:t xml:space="preserve">, I. (2007). Unity in </w:t>
      </w:r>
      <w:proofErr w:type="gramStart"/>
      <w:r w:rsidRPr="006D6E62">
        <w:rPr>
          <w:rFonts w:cs="Times New Roman"/>
          <w:color w:val="222222"/>
          <w:szCs w:val="24"/>
          <w:shd w:val="clear" w:color="auto" w:fill="FFFFFF"/>
        </w:rPr>
        <w:t>diversity?:</w:t>
      </w:r>
      <w:proofErr w:type="gramEnd"/>
      <w:r w:rsidRPr="006D6E62">
        <w:rPr>
          <w:rFonts w:cs="Times New Roman"/>
          <w:color w:val="222222"/>
          <w:szCs w:val="24"/>
          <w:shd w:val="clear" w:color="auto" w:fill="FFFFFF"/>
        </w:rPr>
        <w:t xml:space="preserve"> Bridging Models of Multiculturalism and Immigrant Integration. Du </w:t>
      </w:r>
      <w:proofErr w:type="spellStart"/>
      <w:r w:rsidRPr="006D6E62">
        <w:rPr>
          <w:rFonts w:cs="Times New Roman"/>
          <w:color w:val="222222"/>
          <w:szCs w:val="24"/>
          <w:shd w:val="clear" w:color="auto" w:fill="FFFFFF"/>
        </w:rPr>
        <w:t>Bois</w:t>
      </w:r>
      <w:proofErr w:type="spellEnd"/>
      <w:r w:rsidRPr="006D6E62">
        <w:rPr>
          <w:rFonts w:cs="Times New Roman"/>
          <w:color w:val="222222"/>
          <w:szCs w:val="24"/>
          <w:shd w:val="clear" w:color="auto" w:fill="FFFFFF"/>
        </w:rPr>
        <w:t xml:space="preserve"> Review: Social Science Research on Race, 4(2), 317-336.</w:t>
      </w:r>
    </w:p>
    <w:p w14:paraId="40A04D1B" w14:textId="77777777" w:rsidR="003D5B90" w:rsidRPr="006D6E62" w:rsidRDefault="003D5B90" w:rsidP="003D5B90">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Bloemraad</w:t>
      </w:r>
      <w:proofErr w:type="spellEnd"/>
      <w:r w:rsidRPr="006D6E62">
        <w:rPr>
          <w:rFonts w:cs="Times New Roman"/>
          <w:color w:val="222222"/>
          <w:szCs w:val="24"/>
          <w:shd w:val="clear" w:color="auto" w:fill="FFFFFF"/>
        </w:rPr>
        <w:t xml:space="preserve">, I., </w:t>
      </w:r>
      <w:proofErr w:type="spellStart"/>
      <w:r w:rsidRPr="006D6E62">
        <w:rPr>
          <w:rFonts w:cs="Times New Roman"/>
          <w:color w:val="222222"/>
          <w:szCs w:val="24"/>
          <w:shd w:val="clear" w:color="auto" w:fill="FFFFFF"/>
        </w:rPr>
        <w:t>Korteweg</w:t>
      </w:r>
      <w:proofErr w:type="spellEnd"/>
      <w:r w:rsidRPr="006D6E62">
        <w:rPr>
          <w:rFonts w:cs="Times New Roman"/>
          <w:color w:val="222222"/>
          <w:szCs w:val="24"/>
          <w:shd w:val="clear" w:color="auto" w:fill="FFFFFF"/>
        </w:rPr>
        <w:t xml:space="preserve">, A., &amp; </w:t>
      </w:r>
      <w:proofErr w:type="spellStart"/>
      <w:r w:rsidRPr="006D6E62">
        <w:rPr>
          <w:rFonts w:cs="Times New Roman"/>
          <w:color w:val="222222"/>
          <w:szCs w:val="24"/>
          <w:shd w:val="clear" w:color="auto" w:fill="FFFFFF"/>
        </w:rPr>
        <w:t>Yurdakul</w:t>
      </w:r>
      <w:proofErr w:type="spellEnd"/>
      <w:r w:rsidRPr="006D6E62">
        <w:rPr>
          <w:rFonts w:cs="Times New Roman"/>
          <w:color w:val="222222"/>
          <w:szCs w:val="24"/>
          <w:shd w:val="clear" w:color="auto" w:fill="FFFFFF"/>
        </w:rPr>
        <w:t>, G. (2008). Citizenship and immigration: Multiculturalism, assimilation, and challenges to the nation-state. Annual review of sociology, 34.</w:t>
      </w:r>
    </w:p>
    <w:p w14:paraId="60BAED55" w14:textId="77777777" w:rsidR="003D5B90" w:rsidRPr="006D6E62" w:rsidRDefault="003D5B90" w:rsidP="003D5B90">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Calzavara</w:t>
      </w:r>
      <w:proofErr w:type="spellEnd"/>
      <w:r w:rsidRPr="006D6E62">
        <w:rPr>
          <w:rFonts w:cs="Times New Roman"/>
          <w:color w:val="222222"/>
          <w:szCs w:val="24"/>
          <w:shd w:val="clear" w:color="auto" w:fill="FFFFFF"/>
        </w:rPr>
        <w:t>, L. (1985). Trends in the Employment Opportunities of Women in Canada 1930—1980'in Equality in Employment: A Royal Commission Report. Research Studies, Ottawa, 515-536.</w:t>
      </w:r>
    </w:p>
    <w:p w14:paraId="7E2FCD03"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lastRenderedPageBreak/>
        <w:t xml:space="preserve">Cohen, T. (2012). Canada Census 2011: Immigrants and newcomers drive population growth. Retrieved from: </w:t>
      </w:r>
      <w:hyperlink r:id="rId9" w:history="1">
        <w:r w:rsidRPr="006D6E62">
          <w:rPr>
            <w:rStyle w:val="Hyperlink"/>
            <w:rFonts w:cs="Times New Roman"/>
            <w:szCs w:val="24"/>
          </w:rPr>
          <w:t>https://nationalpost.com/news/canada/canada-census-2011-immigrants-and-newcomers-drive-population-growth</w:t>
        </w:r>
      </w:hyperlink>
    </w:p>
    <w:p w14:paraId="0AD8E4F4"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Bouchard, G., &amp; Carroll, B. W. (2002). Policy‐making and administrative discretion: The case of immigration in Canada. Canadian public administration, 45(2), 239-257.</w:t>
      </w:r>
    </w:p>
    <w:p w14:paraId="3DD417AB" w14:textId="3A4F45C5" w:rsidR="003D5B90" w:rsidRPr="006D6E62" w:rsidRDefault="003D5B90" w:rsidP="003D5B90">
      <w:pPr>
        <w:ind w:left="720" w:hanging="720"/>
        <w:rPr>
          <w:rFonts w:cs="Times New Roman"/>
          <w:color w:val="000000"/>
          <w:szCs w:val="24"/>
          <w:shd w:val="clear" w:color="auto" w:fill="FFFFFF"/>
        </w:rPr>
      </w:pPr>
      <w:r w:rsidRPr="006D6E62">
        <w:rPr>
          <w:rFonts w:cs="Times New Roman"/>
          <w:color w:val="000000"/>
          <w:szCs w:val="24"/>
          <w:shd w:val="clear" w:color="auto" w:fill="FFFFFF"/>
        </w:rPr>
        <w:t xml:space="preserve">Canada. (1990). The Canadian Multiculturalism Act: A guide for Canadians. Ottawa, </w:t>
      </w:r>
      <w:proofErr w:type="spellStart"/>
      <w:r w:rsidRPr="006D6E62">
        <w:rPr>
          <w:rFonts w:cs="Times New Roman"/>
          <w:color w:val="000000"/>
          <w:szCs w:val="24"/>
          <w:shd w:val="clear" w:color="auto" w:fill="FFFFFF"/>
        </w:rPr>
        <w:t>Ont</w:t>
      </w:r>
      <w:proofErr w:type="spellEnd"/>
      <w:r w:rsidRPr="006D6E62">
        <w:rPr>
          <w:rFonts w:cs="Times New Roman"/>
          <w:color w:val="000000"/>
          <w:szCs w:val="24"/>
          <w:shd w:val="clear" w:color="auto" w:fill="FFFFFF"/>
        </w:rPr>
        <w:t>: Multiculturalism and Citizenship Canada.</w:t>
      </w:r>
    </w:p>
    <w:p w14:paraId="0E34701C" w14:textId="5AA88BC7" w:rsidR="00FF0376" w:rsidRPr="006D6E62" w:rsidRDefault="00FF0376" w:rsidP="003D5B90">
      <w:pPr>
        <w:ind w:left="720" w:hanging="720"/>
        <w:rPr>
          <w:rFonts w:cs="Times New Roman"/>
          <w:color w:val="000000"/>
          <w:szCs w:val="24"/>
          <w:shd w:val="clear" w:color="auto" w:fill="FFFFFF"/>
        </w:rPr>
      </w:pPr>
      <w:r w:rsidRPr="006D6E62">
        <w:rPr>
          <w:rFonts w:cs="Times New Roman"/>
          <w:color w:val="000000"/>
          <w:szCs w:val="24"/>
          <w:shd w:val="clear" w:color="auto" w:fill="FFFFFF"/>
        </w:rPr>
        <w:t xml:space="preserve">Canada Heritage. (2019). Annual Report on the Operation of the Canadian Multiculturalism Act 2017-2018: Strengthening Multiculturalism. Retrieved from </w:t>
      </w:r>
      <w:hyperlink r:id="rId10" w:history="1">
        <w:r w:rsidRPr="006D6E62">
          <w:rPr>
            <w:rStyle w:val="Hyperlink"/>
          </w:rPr>
          <w:t>http://publications.gc.ca/collections/collection_2019/pch/CH31-1-2018-eng.pdf</w:t>
        </w:r>
      </w:hyperlink>
    </w:p>
    <w:p w14:paraId="0C9CC95A"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000000"/>
          <w:szCs w:val="24"/>
          <w:shd w:val="clear" w:color="auto" w:fill="FFFFFF"/>
        </w:rPr>
        <w:t xml:space="preserve">Citizenship and Immigration Canada. (2012). Annual Report on the Operation of The Canadian Multiculturalism Act. Retrieved from </w:t>
      </w:r>
      <w:hyperlink r:id="rId11" w:history="1">
        <w:r w:rsidRPr="006D6E62">
          <w:rPr>
            <w:rStyle w:val="Hyperlink"/>
            <w:rFonts w:cs="Times New Roman"/>
            <w:szCs w:val="24"/>
          </w:rPr>
          <w:t>https://www.canada.ca/content/dam/ircc/migration/ircc/english/pdf/pub/multi-report2012.pdf</w:t>
        </w:r>
      </w:hyperlink>
    </w:p>
    <w:p w14:paraId="75E52715"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Colic-</w:t>
      </w:r>
      <w:proofErr w:type="spellStart"/>
      <w:r w:rsidRPr="006D6E62">
        <w:rPr>
          <w:rFonts w:cs="Times New Roman"/>
          <w:color w:val="222222"/>
          <w:szCs w:val="24"/>
          <w:shd w:val="clear" w:color="auto" w:fill="FFFFFF"/>
        </w:rPr>
        <w:t>Peisker</w:t>
      </w:r>
      <w:proofErr w:type="spellEnd"/>
      <w:r w:rsidRPr="006D6E62">
        <w:rPr>
          <w:rFonts w:cs="Times New Roman"/>
          <w:color w:val="222222"/>
          <w:szCs w:val="24"/>
          <w:shd w:val="clear" w:color="auto" w:fill="FFFFFF"/>
        </w:rPr>
        <w:t xml:space="preserve">, V. (2011). ‘Ethnics’ and ‘Anglos’ in the labour force: Advancing Australia </w:t>
      </w:r>
      <w:proofErr w:type="gramStart"/>
      <w:r w:rsidRPr="006D6E62">
        <w:rPr>
          <w:rFonts w:cs="Times New Roman"/>
          <w:color w:val="222222"/>
          <w:szCs w:val="24"/>
          <w:shd w:val="clear" w:color="auto" w:fill="FFFFFF"/>
        </w:rPr>
        <w:t>fair?.</w:t>
      </w:r>
      <w:proofErr w:type="gramEnd"/>
      <w:r w:rsidRPr="006D6E62">
        <w:rPr>
          <w:rFonts w:cs="Times New Roman"/>
          <w:color w:val="222222"/>
          <w:szCs w:val="24"/>
          <w:shd w:val="clear" w:color="auto" w:fill="FFFFFF"/>
        </w:rPr>
        <w:t> Journal of Intercultural Studies, 32(6), 637-654.</w:t>
      </w:r>
    </w:p>
    <w:p w14:paraId="731942F7"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Dib, K. (2006). Canada's 150th Anniversary Multiculturalism and Diversity: Vehicles for Sustainable Socio-Economic Progress/150e </w:t>
      </w:r>
      <w:proofErr w:type="spellStart"/>
      <w:r w:rsidRPr="006D6E62">
        <w:rPr>
          <w:rFonts w:cs="Times New Roman"/>
          <w:color w:val="222222"/>
          <w:szCs w:val="24"/>
          <w:shd w:val="clear" w:color="auto" w:fill="FFFFFF"/>
        </w:rPr>
        <w:t>anniversaire</w:t>
      </w:r>
      <w:proofErr w:type="spellEnd"/>
      <w:r w:rsidRPr="006D6E62">
        <w:rPr>
          <w:rFonts w:cs="Times New Roman"/>
          <w:color w:val="222222"/>
          <w:szCs w:val="24"/>
          <w:shd w:val="clear" w:color="auto" w:fill="FFFFFF"/>
        </w:rPr>
        <w:t xml:space="preserve"> du Canada </w:t>
      </w:r>
      <w:proofErr w:type="spellStart"/>
      <w:r w:rsidRPr="006D6E62">
        <w:rPr>
          <w:rFonts w:cs="Times New Roman"/>
          <w:color w:val="222222"/>
          <w:szCs w:val="24"/>
          <w:shd w:val="clear" w:color="auto" w:fill="FFFFFF"/>
        </w:rPr>
        <w:t>Multiculturalisme</w:t>
      </w:r>
      <w:proofErr w:type="spellEnd"/>
      <w:r w:rsidRPr="006D6E62">
        <w:rPr>
          <w:rFonts w:cs="Times New Roman"/>
          <w:color w:val="222222"/>
          <w:szCs w:val="24"/>
          <w:shd w:val="clear" w:color="auto" w:fill="FFFFFF"/>
        </w:rPr>
        <w:t xml:space="preserve"> et </w:t>
      </w:r>
      <w:proofErr w:type="spellStart"/>
      <w:r w:rsidRPr="006D6E62">
        <w:rPr>
          <w:rFonts w:cs="Times New Roman"/>
          <w:color w:val="222222"/>
          <w:szCs w:val="24"/>
          <w:shd w:val="clear" w:color="auto" w:fill="FFFFFF"/>
        </w:rPr>
        <w:t>diversité</w:t>
      </w:r>
      <w:proofErr w:type="spellEnd"/>
      <w:r w:rsidRPr="006D6E62">
        <w:rPr>
          <w:rFonts w:cs="Times New Roman"/>
          <w:color w:val="222222"/>
          <w:szCs w:val="24"/>
          <w:shd w:val="clear" w:color="auto" w:fill="FFFFFF"/>
        </w:rPr>
        <w:t xml:space="preserve">: </w:t>
      </w:r>
      <w:proofErr w:type="spellStart"/>
      <w:r w:rsidRPr="006D6E62">
        <w:rPr>
          <w:rFonts w:cs="Times New Roman"/>
          <w:color w:val="222222"/>
          <w:szCs w:val="24"/>
          <w:shd w:val="clear" w:color="auto" w:fill="FFFFFF"/>
        </w:rPr>
        <w:t>véhicules</w:t>
      </w:r>
      <w:proofErr w:type="spellEnd"/>
      <w:r w:rsidRPr="006D6E62">
        <w:rPr>
          <w:rFonts w:cs="Times New Roman"/>
          <w:color w:val="222222"/>
          <w:szCs w:val="24"/>
          <w:shd w:val="clear" w:color="auto" w:fill="FFFFFF"/>
        </w:rPr>
        <w:t xml:space="preserve"> de </w:t>
      </w:r>
      <w:proofErr w:type="spellStart"/>
      <w:r w:rsidRPr="006D6E62">
        <w:rPr>
          <w:rFonts w:cs="Times New Roman"/>
          <w:color w:val="222222"/>
          <w:szCs w:val="24"/>
          <w:shd w:val="clear" w:color="auto" w:fill="FFFFFF"/>
        </w:rPr>
        <w:t>progrès</w:t>
      </w:r>
      <w:proofErr w:type="spellEnd"/>
      <w:r w:rsidRPr="006D6E62">
        <w:rPr>
          <w:rFonts w:cs="Times New Roman"/>
          <w:color w:val="222222"/>
          <w:szCs w:val="24"/>
          <w:shd w:val="clear" w:color="auto" w:fill="FFFFFF"/>
        </w:rPr>
        <w:t xml:space="preserve"> </w:t>
      </w:r>
      <w:proofErr w:type="spellStart"/>
      <w:r w:rsidRPr="006D6E62">
        <w:rPr>
          <w:rFonts w:cs="Times New Roman"/>
          <w:color w:val="222222"/>
          <w:szCs w:val="24"/>
          <w:shd w:val="clear" w:color="auto" w:fill="FFFFFF"/>
        </w:rPr>
        <w:t>socioéconomique</w:t>
      </w:r>
      <w:proofErr w:type="spellEnd"/>
      <w:r w:rsidRPr="006D6E62">
        <w:rPr>
          <w:rFonts w:cs="Times New Roman"/>
          <w:color w:val="222222"/>
          <w:szCs w:val="24"/>
          <w:shd w:val="clear" w:color="auto" w:fill="FFFFFF"/>
        </w:rPr>
        <w:t xml:space="preserve"> durable. Canadian Ethnic Studies, 38(3), 143.</w:t>
      </w:r>
    </w:p>
    <w:p w14:paraId="2B2B0521"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Eurobarometer 60. (2004). Public Opinion in the European Union. Luxembourg: Office for Official Publications of the European Communities.</w:t>
      </w:r>
    </w:p>
    <w:p w14:paraId="2C707F28"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Government of Canada. (2018). Employment Equity Act: Annual Report 2018. Retrieved from </w:t>
      </w:r>
      <w:hyperlink r:id="rId12" w:history="1">
        <w:r w:rsidRPr="006D6E62">
          <w:rPr>
            <w:rStyle w:val="Hyperlink"/>
            <w:rFonts w:cs="Times New Roman"/>
            <w:szCs w:val="24"/>
          </w:rPr>
          <w:t>https://www.canada.ca/en/employment-social-development/services/labour-standards/reports/employment-equity-2018.html</w:t>
        </w:r>
      </w:hyperlink>
    </w:p>
    <w:p w14:paraId="72CAF5E6" w14:textId="0CA066E3"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Evelyn, C. (2018, July 4). Improve, then use, name-blind recruitment to boost Senate staff diversity: committee. The Hill Times. Retrieved from </w:t>
      </w:r>
      <w:hyperlink r:id="rId13" w:history="1">
        <w:r w:rsidRPr="006D6E62">
          <w:rPr>
            <w:rStyle w:val="Hyperlink"/>
            <w:rFonts w:cs="Times New Roman"/>
            <w:szCs w:val="24"/>
          </w:rPr>
          <w:t>https://www.hilltimes.com/2018/07/04/improve-use-name-blind-recruitment-boost-diversity-senate-admin-says-subcommittee/149798</w:t>
        </w:r>
      </w:hyperlink>
    </w:p>
    <w:p w14:paraId="6F48669F"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lastRenderedPageBreak/>
        <w:t xml:space="preserve">Griffith, A. (2017, February 14). There are more women and minorities in today’s Senate, but it’s not as diverse when it comes to education and occupation. Policy Options. Retrieved from </w:t>
      </w:r>
      <w:hyperlink r:id="rId14" w:history="1">
        <w:r w:rsidRPr="006D6E62">
          <w:rPr>
            <w:rStyle w:val="Hyperlink"/>
            <w:rFonts w:cs="Times New Roman"/>
            <w:szCs w:val="24"/>
          </w:rPr>
          <w:t>https://policyoptions.irpp.org/magazines/february-2017/diversity-in-the-senate/</w:t>
        </w:r>
      </w:hyperlink>
    </w:p>
    <w:p w14:paraId="4795DB85"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Hiebert, D. (2016, June). What’s So Special about Canada? Understanding the Resilience of Immigration and Multiculturalism. Migration Policy Institute. Retrieved from </w:t>
      </w:r>
      <w:r w:rsidRPr="006D6E62">
        <w:rPr>
          <w:rFonts w:cs="Times New Roman"/>
          <w:szCs w:val="24"/>
        </w:rPr>
        <w:t xml:space="preserve"> </w:t>
      </w:r>
      <w:hyperlink r:id="rId15" w:history="1">
        <w:r w:rsidRPr="006D6E62">
          <w:rPr>
            <w:rStyle w:val="Hyperlink"/>
            <w:rFonts w:cs="Times New Roman"/>
            <w:szCs w:val="24"/>
          </w:rPr>
          <w:t>https://www.migrationpolicy.org/research/whats-so-special-about-canada-understanding-resilience-immigration-and-multiculturalism</w:t>
        </w:r>
      </w:hyperlink>
    </w:p>
    <w:p w14:paraId="59BD525C" w14:textId="77777777" w:rsidR="006B5D41" w:rsidRDefault="003D5B90" w:rsidP="006B5D41">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Hooghe</w:t>
      </w:r>
      <w:proofErr w:type="spellEnd"/>
      <w:r w:rsidRPr="006D6E62">
        <w:rPr>
          <w:rFonts w:cs="Times New Roman"/>
          <w:color w:val="222222"/>
          <w:szCs w:val="24"/>
          <w:shd w:val="clear" w:color="auto" w:fill="FFFFFF"/>
        </w:rPr>
        <w:t>, M. (2014). Citizenship and participation.</w:t>
      </w:r>
    </w:p>
    <w:p w14:paraId="5CA86B9F" w14:textId="6810709E" w:rsidR="006B5D41" w:rsidRPr="006B5D41" w:rsidRDefault="006B5D41">
      <w:pPr>
        <w:ind w:left="720" w:hanging="720"/>
        <w:rPr>
          <w:rFonts w:cs="Times New Roman"/>
          <w:color w:val="222222"/>
          <w:szCs w:val="24"/>
          <w:shd w:val="clear" w:color="auto" w:fill="FFFFFF"/>
        </w:rPr>
      </w:pPr>
      <w:r>
        <w:rPr>
          <w:rFonts w:cs="Times New Roman"/>
          <w:color w:val="222222"/>
          <w:szCs w:val="24"/>
          <w:shd w:val="clear" w:color="auto" w:fill="FFFFFF"/>
        </w:rPr>
        <w:t xml:space="preserve">Hughes, M. (2010).  </w:t>
      </w:r>
      <w:r w:rsidRPr="001D2507">
        <w:rPr>
          <w:rFonts w:cs="Times New Roman"/>
          <w:color w:val="222222"/>
          <w:szCs w:val="24"/>
          <w:shd w:val="clear" w:color="auto" w:fill="FFFFFF"/>
        </w:rPr>
        <w:t>Canada wants to welcome more than 1 million new immigrants in the next three years</w:t>
      </w:r>
      <w:r>
        <w:rPr>
          <w:rFonts w:cs="Times New Roman"/>
          <w:color w:val="222222"/>
          <w:szCs w:val="24"/>
          <w:shd w:val="clear" w:color="auto" w:fill="FFFFFF"/>
        </w:rPr>
        <w:t xml:space="preserve">.  CNN, January 11.  Retrieved from: </w:t>
      </w:r>
      <w:hyperlink r:id="rId16" w:history="1">
        <w:r>
          <w:rPr>
            <w:rStyle w:val="Hyperlink"/>
          </w:rPr>
          <w:t>https://www.cnn.com/2019/01/10/world/canada-immigration-trnd/index.html</w:t>
        </w:r>
      </w:hyperlink>
      <w:r>
        <w:rPr>
          <w:rFonts w:cs="Times New Roman"/>
          <w:color w:val="222222"/>
          <w:szCs w:val="24"/>
          <w:shd w:val="clear" w:color="auto" w:fill="FFFFFF"/>
        </w:rPr>
        <w:t xml:space="preserve"> </w:t>
      </w:r>
    </w:p>
    <w:p w14:paraId="10FAA016"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Jain, H., &amp; Lawler, J. (2004). Visible Minorities under the Canadian Employment Equity Act, 1987-1999. Relations </w:t>
      </w:r>
      <w:proofErr w:type="spellStart"/>
      <w:r w:rsidRPr="006D6E62">
        <w:rPr>
          <w:rFonts w:cs="Times New Roman"/>
          <w:color w:val="222222"/>
          <w:szCs w:val="24"/>
          <w:shd w:val="clear" w:color="auto" w:fill="FFFFFF"/>
        </w:rPr>
        <w:t>industrielles</w:t>
      </w:r>
      <w:proofErr w:type="spellEnd"/>
      <w:r w:rsidRPr="006D6E62">
        <w:rPr>
          <w:rFonts w:cs="Times New Roman"/>
          <w:color w:val="222222"/>
          <w:szCs w:val="24"/>
          <w:shd w:val="clear" w:color="auto" w:fill="FFFFFF"/>
        </w:rPr>
        <w:t>/Industrial Relations, 59(3), 585-611.</w:t>
      </w:r>
    </w:p>
    <w:p w14:paraId="79DC15E0" w14:textId="77777777" w:rsidR="003D5B90" w:rsidRPr="006D6E62" w:rsidRDefault="003D5B90" w:rsidP="003D5B90">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Kymlicka</w:t>
      </w:r>
      <w:proofErr w:type="spellEnd"/>
      <w:r w:rsidRPr="006D6E62">
        <w:rPr>
          <w:rFonts w:cs="Times New Roman"/>
          <w:color w:val="222222"/>
          <w:szCs w:val="24"/>
          <w:shd w:val="clear" w:color="auto" w:fill="FFFFFF"/>
        </w:rPr>
        <w:t>, W. (1995). Multicultural citizenship: A liberal theory of minority rights. Clarendon Press.</w:t>
      </w:r>
    </w:p>
    <w:p w14:paraId="0B4020D3" w14:textId="72C5885F" w:rsidR="003D5B90" w:rsidRDefault="003D5B90" w:rsidP="003D5B90">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Kymlicka</w:t>
      </w:r>
      <w:proofErr w:type="spellEnd"/>
      <w:r w:rsidRPr="006D6E62">
        <w:rPr>
          <w:rFonts w:cs="Times New Roman"/>
          <w:color w:val="222222"/>
          <w:szCs w:val="24"/>
          <w:shd w:val="clear" w:color="auto" w:fill="FFFFFF"/>
        </w:rPr>
        <w:t>, W. (2001). Politics in the vernacular: Nationalism, multiculturalism and citizenship (p. 226). Oxford: Oxford University Press.</w:t>
      </w:r>
    </w:p>
    <w:p w14:paraId="1F0D9522" w14:textId="671EED20" w:rsidR="000B3C00" w:rsidRPr="006D6E62" w:rsidRDefault="000B3C00" w:rsidP="003D5B90">
      <w:pPr>
        <w:ind w:left="720" w:hanging="720"/>
        <w:rPr>
          <w:rFonts w:cs="Times New Roman"/>
          <w:color w:val="222222"/>
          <w:szCs w:val="24"/>
          <w:shd w:val="clear" w:color="auto" w:fill="FFFFFF"/>
        </w:rPr>
      </w:pPr>
      <w:r>
        <w:t xml:space="preserve">Lam, A. &amp; Ng, E.S. (2020).  Progress in Affirmative Action: How backlash is holding us back. In E. King, M. </w:t>
      </w:r>
      <w:proofErr w:type="spellStart"/>
      <w:r>
        <w:t>Hebl</w:t>
      </w:r>
      <w:proofErr w:type="spellEnd"/>
      <w:r>
        <w:t xml:space="preserve">, &amp; Q. Roberson (Eds.), </w:t>
      </w:r>
      <w:r w:rsidRPr="00FF5115">
        <w:rPr>
          <w:i/>
        </w:rPr>
        <w:t>Research on Social Issues in Management</w:t>
      </w:r>
      <w:r>
        <w:t>.  IAP</w:t>
      </w:r>
    </w:p>
    <w:p w14:paraId="4A8A1608" w14:textId="77777777" w:rsidR="00C92F7C" w:rsidRPr="006D6E62" w:rsidRDefault="003D5B90" w:rsidP="00C92F7C">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Leck</w:t>
      </w:r>
      <w:proofErr w:type="spellEnd"/>
      <w:r w:rsidRPr="006D6E62">
        <w:rPr>
          <w:rFonts w:cs="Times New Roman"/>
          <w:color w:val="222222"/>
          <w:szCs w:val="24"/>
          <w:shd w:val="clear" w:color="auto" w:fill="FFFFFF"/>
        </w:rPr>
        <w:t>, J. D. (2002). Making employment equity programs work for women. Canadian Public Policy/Analyse de Politiques, S85-S100.</w:t>
      </w:r>
    </w:p>
    <w:p w14:paraId="265C0435" w14:textId="66959FFD" w:rsidR="00C92F7C" w:rsidRPr="006D6E62" w:rsidRDefault="00C92F7C" w:rsidP="00C92F7C">
      <w:pPr>
        <w:ind w:left="720" w:hanging="720"/>
        <w:rPr>
          <w:rFonts w:cs="Times New Roman"/>
          <w:color w:val="222222"/>
          <w:szCs w:val="24"/>
          <w:shd w:val="clear" w:color="auto" w:fill="FFFFFF"/>
        </w:rPr>
      </w:pPr>
      <w:r w:rsidRPr="006D6E62">
        <w:rPr>
          <w:rFonts w:eastAsia="Times New Roman" w:cs="Times New Roman"/>
          <w:color w:val="222222"/>
          <w:szCs w:val="24"/>
          <w:shd w:val="clear" w:color="auto" w:fill="FFFFFF"/>
        </w:rPr>
        <w:t xml:space="preserve">Lewis, G. B., &amp; Ng, E. S. (2013). Sexual orientation, work values, pay, and preference for public and </w:t>
      </w:r>
      <w:proofErr w:type="spellStart"/>
      <w:r w:rsidRPr="006D6E62">
        <w:rPr>
          <w:rFonts w:eastAsia="Times New Roman" w:cs="Times New Roman"/>
          <w:color w:val="222222"/>
          <w:szCs w:val="24"/>
          <w:shd w:val="clear" w:color="auto" w:fill="FFFFFF"/>
        </w:rPr>
        <w:t>nonprofit</w:t>
      </w:r>
      <w:proofErr w:type="spellEnd"/>
      <w:r w:rsidRPr="006D6E62">
        <w:rPr>
          <w:rFonts w:eastAsia="Times New Roman" w:cs="Times New Roman"/>
          <w:color w:val="222222"/>
          <w:szCs w:val="24"/>
          <w:shd w:val="clear" w:color="auto" w:fill="FFFFFF"/>
        </w:rPr>
        <w:t xml:space="preserve"> employment: Evidence from Canadian postsecondary students. Canadian Public Administration, 56(4), 542-564.</w:t>
      </w:r>
    </w:p>
    <w:p w14:paraId="19D53EBC"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Public Service Commission of Canada. (2011). History of employment equity in the public service and the public service commission of Canada. Retrieved from</w:t>
      </w:r>
      <w:r w:rsidRPr="006D6E62">
        <w:rPr>
          <w:rFonts w:cs="Times New Roman"/>
          <w:szCs w:val="24"/>
        </w:rPr>
        <w:t xml:space="preserve"> </w:t>
      </w:r>
      <w:hyperlink r:id="rId17" w:history="1">
        <w:r w:rsidRPr="006D6E62">
          <w:rPr>
            <w:rStyle w:val="Hyperlink"/>
            <w:rFonts w:cs="Times New Roman"/>
            <w:szCs w:val="24"/>
          </w:rPr>
          <w:t>http://publications.gc.ca/collections/collection_2012/cfp-psc/SC3-159-2011-eng.pdf</w:t>
        </w:r>
      </w:hyperlink>
    </w:p>
    <w:p w14:paraId="24D46C38"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Gagnon, A. G., Turgeon, L., &amp; De Champlain, O. (2006). </w:t>
      </w:r>
      <w:r w:rsidRPr="000B6FBE">
        <w:rPr>
          <w:rFonts w:cs="Times New Roman"/>
          <w:color w:val="222222"/>
          <w:szCs w:val="24"/>
          <w:shd w:val="clear" w:color="auto" w:fill="FFFFFF"/>
        </w:rPr>
        <w:t xml:space="preserve">La </w:t>
      </w:r>
      <w:proofErr w:type="spellStart"/>
      <w:r w:rsidRPr="000B6FBE">
        <w:rPr>
          <w:rFonts w:cs="Times New Roman"/>
          <w:color w:val="222222"/>
          <w:szCs w:val="24"/>
          <w:shd w:val="clear" w:color="auto" w:fill="FFFFFF"/>
        </w:rPr>
        <w:t>bureaucratie</w:t>
      </w:r>
      <w:proofErr w:type="spellEnd"/>
      <w:r w:rsidRPr="000B6FBE">
        <w:rPr>
          <w:rFonts w:cs="Times New Roman"/>
          <w:color w:val="222222"/>
          <w:szCs w:val="24"/>
          <w:shd w:val="clear" w:color="auto" w:fill="FFFFFF"/>
        </w:rPr>
        <w:t xml:space="preserve"> </w:t>
      </w:r>
      <w:proofErr w:type="spellStart"/>
      <w:r w:rsidRPr="000B6FBE">
        <w:rPr>
          <w:rFonts w:cs="Times New Roman"/>
          <w:color w:val="222222"/>
          <w:szCs w:val="24"/>
          <w:shd w:val="clear" w:color="auto" w:fill="FFFFFF"/>
        </w:rPr>
        <w:t>représentative</w:t>
      </w:r>
      <w:proofErr w:type="spellEnd"/>
      <w:r w:rsidRPr="000B6FBE">
        <w:rPr>
          <w:rFonts w:cs="Times New Roman"/>
          <w:color w:val="222222"/>
          <w:szCs w:val="24"/>
          <w:shd w:val="clear" w:color="auto" w:fill="FFFFFF"/>
        </w:rPr>
        <w:t xml:space="preserve"> au sein des </w:t>
      </w:r>
      <w:proofErr w:type="spellStart"/>
      <w:r w:rsidRPr="000B6FBE">
        <w:rPr>
          <w:rFonts w:cs="Times New Roman"/>
          <w:color w:val="222222"/>
          <w:szCs w:val="24"/>
          <w:shd w:val="clear" w:color="auto" w:fill="FFFFFF"/>
        </w:rPr>
        <w:t>États</w:t>
      </w:r>
      <w:proofErr w:type="spellEnd"/>
      <w:r w:rsidRPr="000B6FBE">
        <w:rPr>
          <w:rFonts w:cs="Times New Roman"/>
          <w:color w:val="222222"/>
          <w:szCs w:val="24"/>
          <w:shd w:val="clear" w:color="auto" w:fill="FFFFFF"/>
        </w:rPr>
        <w:t xml:space="preserve"> </w:t>
      </w:r>
      <w:proofErr w:type="spellStart"/>
      <w:r w:rsidRPr="000B6FBE">
        <w:rPr>
          <w:rFonts w:cs="Times New Roman"/>
          <w:color w:val="222222"/>
          <w:szCs w:val="24"/>
          <w:shd w:val="clear" w:color="auto" w:fill="FFFFFF"/>
        </w:rPr>
        <w:t>multinationaux</w:t>
      </w:r>
      <w:proofErr w:type="spellEnd"/>
      <w:r w:rsidRPr="000B6FBE">
        <w:rPr>
          <w:rFonts w:cs="Times New Roman"/>
          <w:color w:val="222222"/>
          <w:szCs w:val="24"/>
          <w:shd w:val="clear" w:color="auto" w:fill="FFFFFF"/>
        </w:rPr>
        <w:t>. </w:t>
      </w:r>
      <w:r w:rsidRPr="006D6E62">
        <w:rPr>
          <w:rFonts w:cs="Times New Roman"/>
          <w:color w:val="222222"/>
          <w:szCs w:val="24"/>
          <w:shd w:val="clear" w:color="auto" w:fill="FFFFFF"/>
        </w:rPr>
        <w:t xml:space="preserve">Revue </w:t>
      </w:r>
      <w:proofErr w:type="spellStart"/>
      <w:r w:rsidRPr="006D6E62">
        <w:rPr>
          <w:rFonts w:cs="Times New Roman"/>
          <w:color w:val="222222"/>
          <w:szCs w:val="24"/>
          <w:shd w:val="clear" w:color="auto" w:fill="FFFFFF"/>
        </w:rPr>
        <w:t>française</w:t>
      </w:r>
      <w:proofErr w:type="spellEnd"/>
      <w:r w:rsidRPr="006D6E62">
        <w:rPr>
          <w:rFonts w:cs="Times New Roman"/>
          <w:color w:val="222222"/>
          <w:szCs w:val="24"/>
          <w:shd w:val="clear" w:color="auto" w:fill="FFFFFF"/>
        </w:rPr>
        <w:t xml:space="preserve"> </w:t>
      </w:r>
      <w:proofErr w:type="spellStart"/>
      <w:r w:rsidRPr="006D6E62">
        <w:rPr>
          <w:rFonts w:cs="Times New Roman"/>
          <w:color w:val="222222"/>
          <w:szCs w:val="24"/>
          <w:shd w:val="clear" w:color="auto" w:fill="FFFFFF"/>
        </w:rPr>
        <w:t>d'administration</w:t>
      </w:r>
      <w:proofErr w:type="spellEnd"/>
      <w:r w:rsidRPr="006D6E62">
        <w:rPr>
          <w:rFonts w:cs="Times New Roman"/>
          <w:color w:val="222222"/>
          <w:szCs w:val="24"/>
          <w:shd w:val="clear" w:color="auto" w:fill="FFFFFF"/>
        </w:rPr>
        <w:t xml:space="preserve"> </w:t>
      </w:r>
      <w:proofErr w:type="spellStart"/>
      <w:r w:rsidRPr="006D6E62">
        <w:rPr>
          <w:rFonts w:cs="Times New Roman"/>
          <w:color w:val="222222"/>
          <w:szCs w:val="24"/>
          <w:shd w:val="clear" w:color="auto" w:fill="FFFFFF"/>
        </w:rPr>
        <w:t>publique</w:t>
      </w:r>
      <w:proofErr w:type="spellEnd"/>
      <w:r w:rsidRPr="006D6E62">
        <w:rPr>
          <w:rFonts w:cs="Times New Roman"/>
          <w:color w:val="222222"/>
          <w:szCs w:val="24"/>
          <w:shd w:val="clear" w:color="auto" w:fill="FFFFFF"/>
        </w:rPr>
        <w:t>, (2), 291-306.</w:t>
      </w:r>
    </w:p>
    <w:p w14:paraId="0448637C"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lastRenderedPageBreak/>
        <w:t>Ghosh, R. (2018). Multiculturalism in a Comparative Perspective: Australia, Canada and India. Canadian Ethnic Studies, 50(1), 15-36.</w:t>
      </w:r>
    </w:p>
    <w:p w14:paraId="681D35EE"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Groeneveld, S., &amp; Van de </w:t>
      </w:r>
      <w:proofErr w:type="spellStart"/>
      <w:r w:rsidRPr="006D6E62">
        <w:rPr>
          <w:rFonts w:cs="Times New Roman"/>
          <w:color w:val="222222"/>
          <w:szCs w:val="24"/>
          <w:shd w:val="clear" w:color="auto" w:fill="FFFFFF"/>
        </w:rPr>
        <w:t>Walle</w:t>
      </w:r>
      <w:proofErr w:type="spellEnd"/>
      <w:r w:rsidRPr="006D6E62">
        <w:rPr>
          <w:rFonts w:cs="Times New Roman"/>
          <w:color w:val="222222"/>
          <w:szCs w:val="24"/>
          <w:shd w:val="clear" w:color="auto" w:fill="FFFFFF"/>
        </w:rPr>
        <w:t>, S. (2010). A contingency approach to representative bureaucracy: Power, equal opportunities and diversity. International Review of Administrative Sciences, 76(2), 239-258.</w:t>
      </w:r>
    </w:p>
    <w:p w14:paraId="43AAD9E8"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Hoag, H. (2008). Canada increasingly reliant on foreign-trained health professionals.</w:t>
      </w:r>
    </w:p>
    <w:p w14:paraId="0C766915"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Kernaghan, K. (1978). Representative bureaucracy: the Canadian perspective. Canadian public administration, 21(4), 489-512.</w:t>
      </w:r>
    </w:p>
    <w:p w14:paraId="35AA0F44"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Kingsley, J. D. (1944). Representative bureaucracy. Representative Bureaucracy: Classic Readings and Continuing Controversies, 12-18.</w:t>
      </w:r>
    </w:p>
    <w:p w14:paraId="581865DD"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Luedtke, A. (2005). European integration, public opinion and immigration policy: Testing the impact of national identity. European Union Politics, 6(1), 83-112.</w:t>
      </w:r>
    </w:p>
    <w:p w14:paraId="3B08B809"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McDonald, P., &amp; </w:t>
      </w:r>
      <w:proofErr w:type="spellStart"/>
      <w:r w:rsidRPr="006D6E62">
        <w:rPr>
          <w:rFonts w:cs="Times New Roman"/>
          <w:color w:val="222222"/>
          <w:szCs w:val="24"/>
          <w:shd w:val="clear" w:color="auto" w:fill="FFFFFF"/>
        </w:rPr>
        <w:t>Kippen</w:t>
      </w:r>
      <w:proofErr w:type="spellEnd"/>
      <w:r w:rsidRPr="006D6E62">
        <w:rPr>
          <w:rFonts w:cs="Times New Roman"/>
          <w:color w:val="222222"/>
          <w:szCs w:val="24"/>
          <w:shd w:val="clear" w:color="auto" w:fill="FFFFFF"/>
        </w:rPr>
        <w:t>, R. (2001). Labor supply prospects in 16 developed countries, 2000–2050. Population and Development Review, 27(1), 1-32.</w:t>
      </w:r>
    </w:p>
    <w:p w14:paraId="049E2043" w14:textId="77777777" w:rsidR="00227918" w:rsidRDefault="003D5B90" w:rsidP="00227918">
      <w:pPr>
        <w:ind w:left="720" w:hanging="720"/>
        <w:rPr>
          <w:rFonts w:cs="Times New Roman"/>
          <w:color w:val="222222"/>
          <w:szCs w:val="24"/>
          <w:shd w:val="clear" w:color="auto" w:fill="FFFFFF"/>
        </w:rPr>
      </w:pPr>
      <w:r w:rsidRPr="006D6E62">
        <w:rPr>
          <w:rFonts w:cs="Times New Roman"/>
          <w:color w:val="222222"/>
          <w:szCs w:val="24"/>
          <w:shd w:val="clear" w:color="auto" w:fill="FFFFFF"/>
        </w:rPr>
        <w:t>Meier, K. J., &amp; Morton, T. S. (2015). Representative bureaucracy in a cross-national context: Politics, identity, structure and discretion. In Politics of representative bureaucracy. Edward Elgar Publishing.</w:t>
      </w:r>
    </w:p>
    <w:p w14:paraId="32C3C101" w14:textId="414858B9" w:rsidR="00227918" w:rsidRPr="009E00DD" w:rsidRDefault="00227918" w:rsidP="009E00DD">
      <w:pPr>
        <w:ind w:left="720" w:hanging="720"/>
        <w:rPr>
          <w:rFonts w:cs="Times New Roman"/>
          <w:color w:val="222222"/>
          <w:szCs w:val="24"/>
          <w:shd w:val="clear" w:color="auto" w:fill="FFFFFF"/>
        </w:rPr>
      </w:pPr>
      <w:r w:rsidRPr="001D2507">
        <w:rPr>
          <w:rFonts w:eastAsia="Times New Roman" w:cs="Times New Roman"/>
          <w:color w:val="222222"/>
          <w:szCs w:val="24"/>
          <w:shd w:val="clear" w:color="auto" w:fill="FFFFFF"/>
        </w:rPr>
        <w:t xml:space="preserve">Metz, I., Ng, E. S., Cornelius, N., </w:t>
      </w:r>
      <w:proofErr w:type="spellStart"/>
      <w:r w:rsidRPr="001D2507">
        <w:rPr>
          <w:rFonts w:eastAsia="Times New Roman" w:cs="Times New Roman"/>
          <w:color w:val="222222"/>
          <w:szCs w:val="24"/>
          <w:shd w:val="clear" w:color="auto" w:fill="FFFFFF"/>
        </w:rPr>
        <w:t>Hoobler</w:t>
      </w:r>
      <w:proofErr w:type="spellEnd"/>
      <w:r w:rsidRPr="001D2507">
        <w:rPr>
          <w:rFonts w:eastAsia="Times New Roman" w:cs="Times New Roman"/>
          <w:color w:val="222222"/>
          <w:szCs w:val="24"/>
          <w:shd w:val="clear" w:color="auto" w:fill="FFFFFF"/>
        </w:rPr>
        <w:t>, J. M., &amp; Nkomo, S. (2016). 5. A comparative review of multiculturalism in Australia, Canada, the United Kingdom, the United States and South Africa. </w:t>
      </w:r>
      <w:r w:rsidRPr="001D2507">
        <w:rPr>
          <w:rFonts w:eastAsia="Times New Roman" w:cs="Times New Roman"/>
          <w:i/>
          <w:iCs/>
          <w:color w:val="222222"/>
          <w:szCs w:val="24"/>
          <w:shd w:val="clear" w:color="auto" w:fill="FFFFFF"/>
        </w:rPr>
        <w:t>Research Handbook of International and Comparative Perspectives on Diversity Management</w:t>
      </w:r>
      <w:r w:rsidRPr="001D2507">
        <w:rPr>
          <w:rFonts w:eastAsia="Times New Roman" w:cs="Times New Roman"/>
          <w:color w:val="222222"/>
          <w:szCs w:val="24"/>
          <w:shd w:val="clear" w:color="auto" w:fill="FFFFFF"/>
        </w:rPr>
        <w:t>, 131.</w:t>
      </w:r>
    </w:p>
    <w:p w14:paraId="1C1A473E" w14:textId="77777777" w:rsidR="003D5B90" w:rsidRPr="006D6E62" w:rsidRDefault="003D5B90" w:rsidP="003D5B90">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Negy</w:t>
      </w:r>
      <w:proofErr w:type="spellEnd"/>
      <w:r w:rsidRPr="006D6E62">
        <w:rPr>
          <w:rFonts w:cs="Times New Roman"/>
          <w:color w:val="222222"/>
          <w:szCs w:val="24"/>
          <w:shd w:val="clear" w:color="auto" w:fill="FFFFFF"/>
        </w:rPr>
        <w:t xml:space="preserve">, C., Schwartz, S., &amp; </w:t>
      </w:r>
      <w:proofErr w:type="spellStart"/>
      <w:r w:rsidRPr="006D6E62">
        <w:rPr>
          <w:rFonts w:cs="Times New Roman"/>
          <w:color w:val="222222"/>
          <w:szCs w:val="24"/>
          <w:shd w:val="clear" w:color="auto" w:fill="FFFFFF"/>
        </w:rPr>
        <w:t>Reig</w:t>
      </w:r>
      <w:proofErr w:type="spellEnd"/>
      <w:r w:rsidRPr="006D6E62">
        <w:rPr>
          <w:rFonts w:cs="Times New Roman"/>
          <w:color w:val="222222"/>
          <w:szCs w:val="24"/>
          <w:shd w:val="clear" w:color="auto" w:fill="FFFFFF"/>
        </w:rPr>
        <w:t>-Ferrer, A. (2009). Violated expectations and acculturative stress among US Hispanic immigrants. Cultural Diversity and Ethnic Minority Psychology, 15(3), 255.</w:t>
      </w:r>
    </w:p>
    <w:p w14:paraId="372BE194"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Ng, E. S., &amp; </w:t>
      </w:r>
      <w:proofErr w:type="spellStart"/>
      <w:r w:rsidRPr="006D6E62">
        <w:rPr>
          <w:rFonts w:cs="Times New Roman"/>
          <w:color w:val="222222"/>
          <w:szCs w:val="24"/>
          <w:shd w:val="clear" w:color="auto" w:fill="FFFFFF"/>
        </w:rPr>
        <w:t>Bloemraad</w:t>
      </w:r>
      <w:proofErr w:type="spellEnd"/>
      <w:r w:rsidRPr="006D6E62">
        <w:rPr>
          <w:rFonts w:cs="Times New Roman"/>
          <w:color w:val="222222"/>
          <w:szCs w:val="24"/>
          <w:shd w:val="clear" w:color="auto" w:fill="FFFFFF"/>
        </w:rPr>
        <w:t>, I. (2015). A SWOT analysis of multiculturalism in Canada, Europe, Mauritius, and South Korea.  American Behavioral Scientist, 59(6), 619-636.</w:t>
      </w:r>
    </w:p>
    <w:p w14:paraId="7BC272FD" w14:textId="77777777" w:rsidR="00973BAB" w:rsidRDefault="003D5B90" w:rsidP="00973BAB">
      <w:pPr>
        <w:ind w:left="720" w:hanging="720"/>
        <w:rPr>
          <w:rFonts w:cs="Times New Roman"/>
          <w:color w:val="222222"/>
          <w:szCs w:val="24"/>
          <w:shd w:val="clear" w:color="auto" w:fill="FFFFFF"/>
        </w:rPr>
      </w:pPr>
      <w:r w:rsidRPr="006D6E62">
        <w:rPr>
          <w:rFonts w:cs="Times New Roman"/>
          <w:color w:val="222222"/>
          <w:szCs w:val="24"/>
          <w:shd w:val="clear" w:color="auto" w:fill="FFFFFF"/>
        </w:rPr>
        <w:t>Ng, E. S., &amp; Gossett, C. W. (2013). Career choice in Canadian public service: An exploration of fit with the millennial generation. Public Personnel Management, 42(3), 337-358.</w:t>
      </w:r>
    </w:p>
    <w:p w14:paraId="25BFC136" w14:textId="6DC2402E" w:rsidR="00973BAB" w:rsidRPr="006D6E62" w:rsidRDefault="00973BAB" w:rsidP="00AF6886">
      <w:pPr>
        <w:ind w:left="720" w:hanging="720"/>
        <w:rPr>
          <w:rFonts w:cs="Times New Roman"/>
          <w:color w:val="222222"/>
          <w:szCs w:val="24"/>
          <w:shd w:val="clear" w:color="auto" w:fill="FFFFFF"/>
        </w:rPr>
      </w:pPr>
      <w:r w:rsidRPr="00B16131">
        <w:t>Ng, E.S., &amp; McGinnis Johnson, J. (</w:t>
      </w:r>
      <w:r>
        <w:t>in press</w:t>
      </w:r>
      <w:r w:rsidRPr="00B16131">
        <w:t xml:space="preserve">).  Game of loans: The relationship between education debt and making a career choice in the public, private, and </w:t>
      </w:r>
      <w:proofErr w:type="spellStart"/>
      <w:r w:rsidRPr="00B16131">
        <w:t>nonprofit</w:t>
      </w:r>
      <w:proofErr w:type="spellEnd"/>
      <w:r w:rsidRPr="00B16131">
        <w:t xml:space="preserve"> sectors. </w:t>
      </w:r>
      <w:proofErr w:type="spellStart"/>
      <w:r w:rsidRPr="00B16131">
        <w:rPr>
          <w:i/>
        </w:rPr>
        <w:t>Nonprofit</w:t>
      </w:r>
      <w:proofErr w:type="spellEnd"/>
      <w:r w:rsidRPr="00B16131">
        <w:rPr>
          <w:i/>
        </w:rPr>
        <w:t xml:space="preserve"> and Voluntary Sector Quarterly</w:t>
      </w:r>
    </w:p>
    <w:p w14:paraId="3BD20A03"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lastRenderedPageBreak/>
        <w:t>Ng, E. S., &amp; Metz, I. (2015). Multiculturalism as a strategy for national competitiveness: The case for Canada and Australia. Journal of Business Ethics, 128(2), 253-266.</w:t>
      </w:r>
    </w:p>
    <w:p w14:paraId="03D6EB1D"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Ng, E. S., &amp; Sears, G. J. (2015). Toward representative bureaucracy: predicting public service attraction among underrepresented groups in Canada. Review of Public Personnel Administration, 35(4), 367-385.</w:t>
      </w:r>
    </w:p>
    <w:p w14:paraId="670658BA"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Ng, E. S., &amp; Wiesner, W. H. (2007). Are men always picked over women? The effects of employment equity directives on selection decisions. Journal of Business Ethics, 76(2), 177.</w:t>
      </w:r>
    </w:p>
    <w:p w14:paraId="356720F7" w14:textId="2FCBEDC8" w:rsidR="000B3C00" w:rsidRDefault="003D5B90" w:rsidP="006B5D41">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Ogmundson</w:t>
      </w:r>
      <w:proofErr w:type="spellEnd"/>
      <w:r w:rsidRPr="006D6E62">
        <w:rPr>
          <w:rFonts w:cs="Times New Roman"/>
          <w:color w:val="222222"/>
          <w:szCs w:val="24"/>
          <w:shd w:val="clear" w:color="auto" w:fill="FFFFFF"/>
        </w:rPr>
        <w:t xml:space="preserve">, R. (2005). Does it matter if women, minorities and gays </w:t>
      </w:r>
      <w:proofErr w:type="gramStart"/>
      <w:r w:rsidRPr="006D6E62">
        <w:rPr>
          <w:rFonts w:cs="Times New Roman"/>
          <w:color w:val="222222"/>
          <w:szCs w:val="24"/>
          <w:shd w:val="clear" w:color="auto" w:fill="FFFFFF"/>
        </w:rPr>
        <w:t>govern?:</w:t>
      </w:r>
      <w:proofErr w:type="gramEnd"/>
      <w:r w:rsidRPr="006D6E62">
        <w:rPr>
          <w:rFonts w:cs="Times New Roman"/>
          <w:color w:val="222222"/>
          <w:szCs w:val="24"/>
          <w:shd w:val="clear" w:color="auto" w:fill="FFFFFF"/>
        </w:rPr>
        <w:t xml:space="preserve"> New data concerning an old question. Canadian Journal of Sociology/Cahiers </w:t>
      </w:r>
      <w:proofErr w:type="spellStart"/>
      <w:r w:rsidRPr="006D6E62">
        <w:rPr>
          <w:rFonts w:cs="Times New Roman"/>
          <w:color w:val="222222"/>
          <w:szCs w:val="24"/>
          <w:shd w:val="clear" w:color="auto" w:fill="FFFFFF"/>
        </w:rPr>
        <w:t>canadiens</w:t>
      </w:r>
      <w:proofErr w:type="spellEnd"/>
      <w:r w:rsidRPr="006D6E62">
        <w:rPr>
          <w:rFonts w:cs="Times New Roman"/>
          <w:color w:val="222222"/>
          <w:szCs w:val="24"/>
          <w:shd w:val="clear" w:color="auto" w:fill="FFFFFF"/>
        </w:rPr>
        <w:t xml:space="preserve"> de </w:t>
      </w:r>
      <w:proofErr w:type="spellStart"/>
      <w:r w:rsidRPr="001C7BA7">
        <w:rPr>
          <w:rFonts w:cs="Times New Roman"/>
          <w:color w:val="222222"/>
          <w:szCs w:val="24"/>
          <w:shd w:val="clear" w:color="auto" w:fill="FFFFFF"/>
        </w:rPr>
        <w:t>sociologie</w:t>
      </w:r>
      <w:proofErr w:type="spellEnd"/>
      <w:r w:rsidRPr="001C7BA7">
        <w:rPr>
          <w:rFonts w:cs="Times New Roman"/>
          <w:color w:val="222222"/>
          <w:szCs w:val="24"/>
          <w:shd w:val="clear" w:color="auto" w:fill="FFFFFF"/>
        </w:rPr>
        <w:t>, 315-324.</w:t>
      </w:r>
    </w:p>
    <w:p w14:paraId="274EA97E" w14:textId="506880DE" w:rsidR="001D2507" w:rsidRPr="001C7BA7" w:rsidRDefault="000B3C00" w:rsidP="001C7BA7">
      <w:pPr>
        <w:ind w:left="720" w:hanging="720"/>
        <w:rPr>
          <w:rFonts w:eastAsia="Times New Roman" w:cs="Times New Roman"/>
          <w:color w:val="222222"/>
          <w:szCs w:val="24"/>
          <w:shd w:val="clear" w:color="auto" w:fill="FFFFFF"/>
        </w:rPr>
      </w:pPr>
      <w:r>
        <w:t xml:space="preserve">PSAC 2008 </w:t>
      </w:r>
      <w:hyperlink r:id="rId18" w:history="1">
        <w:r>
          <w:rPr>
            <w:rStyle w:val="Hyperlink"/>
          </w:rPr>
          <w:t>http://psacunion.ca/employment-equity-tool-kit-psac-members</w:t>
        </w:r>
      </w:hyperlink>
    </w:p>
    <w:p w14:paraId="278496AB" w14:textId="2494E288" w:rsidR="001D2507" w:rsidRPr="001C7BA7" w:rsidRDefault="001D2507" w:rsidP="001C7BA7">
      <w:pPr>
        <w:ind w:left="720" w:hanging="720"/>
        <w:rPr>
          <w:rFonts w:eastAsia="Times New Roman" w:cs="Times New Roman"/>
          <w:color w:val="222222"/>
          <w:szCs w:val="24"/>
          <w:shd w:val="clear" w:color="auto" w:fill="FFFFFF"/>
        </w:rPr>
      </w:pPr>
      <w:r w:rsidRPr="001C7BA7">
        <w:rPr>
          <w:rFonts w:eastAsia="Times New Roman" w:cs="Times New Roman"/>
          <w:color w:val="222222"/>
          <w:szCs w:val="24"/>
          <w:shd w:val="clear" w:color="auto" w:fill="FFFFFF"/>
        </w:rPr>
        <w:t xml:space="preserve">Rajendran, D., Ng, E. S., Sears, G., &amp; </w:t>
      </w:r>
      <w:proofErr w:type="spellStart"/>
      <w:r w:rsidRPr="001C7BA7">
        <w:rPr>
          <w:rFonts w:eastAsia="Times New Roman" w:cs="Times New Roman"/>
          <w:color w:val="222222"/>
          <w:szCs w:val="24"/>
          <w:shd w:val="clear" w:color="auto" w:fill="FFFFFF"/>
        </w:rPr>
        <w:t>Ayub</w:t>
      </w:r>
      <w:proofErr w:type="spellEnd"/>
      <w:r w:rsidRPr="001C7BA7">
        <w:rPr>
          <w:rFonts w:eastAsia="Times New Roman" w:cs="Times New Roman"/>
          <w:color w:val="222222"/>
          <w:szCs w:val="24"/>
          <w:shd w:val="clear" w:color="auto" w:fill="FFFFFF"/>
        </w:rPr>
        <w:t>, N. (2019). Determinants of Migrant Career Success: A Study of Recent Skilled Migrants in Australia. </w:t>
      </w:r>
      <w:r w:rsidRPr="001C7BA7">
        <w:rPr>
          <w:rFonts w:eastAsia="Times New Roman" w:cs="Times New Roman"/>
          <w:i/>
          <w:iCs/>
          <w:color w:val="222222"/>
          <w:szCs w:val="24"/>
          <w:shd w:val="clear" w:color="auto" w:fill="FFFFFF"/>
        </w:rPr>
        <w:t>International Migration</w:t>
      </w:r>
      <w:r w:rsidRPr="001C7BA7">
        <w:rPr>
          <w:rFonts w:eastAsia="Times New Roman" w:cs="Times New Roman"/>
          <w:color w:val="222222"/>
          <w:szCs w:val="24"/>
          <w:shd w:val="clear" w:color="auto" w:fill="FFFFFF"/>
        </w:rPr>
        <w:t>.</w:t>
      </w:r>
    </w:p>
    <w:p w14:paraId="5D4BB460" w14:textId="2EEF25A9" w:rsidR="006B5D41" w:rsidRPr="006D6E62" w:rsidRDefault="006B5D41">
      <w:pPr>
        <w:ind w:left="720" w:hanging="720"/>
        <w:rPr>
          <w:rFonts w:cs="Times New Roman"/>
          <w:color w:val="222222"/>
          <w:szCs w:val="24"/>
          <w:shd w:val="clear" w:color="auto" w:fill="FFFFFF"/>
        </w:rPr>
      </w:pPr>
      <w:r>
        <w:rPr>
          <w:rFonts w:cs="Times New Roman"/>
          <w:color w:val="222222"/>
          <w:szCs w:val="24"/>
          <w:shd w:val="clear" w:color="auto" w:fill="FFFFFF"/>
        </w:rPr>
        <w:t>Ray, B, (2005).</w:t>
      </w:r>
      <w:r w:rsidRPr="001D2507">
        <w:rPr>
          <w:rFonts w:cs="Times New Roman"/>
          <w:color w:val="222222"/>
          <w:szCs w:val="24"/>
          <w:shd w:val="clear" w:color="auto" w:fill="FFFFFF"/>
        </w:rPr>
        <w:t xml:space="preserve"> Canada: Policy Changes and Integration Challenges in an Increasingly Diverse Society</w:t>
      </w:r>
      <w:r>
        <w:rPr>
          <w:rFonts w:cs="Times New Roman"/>
          <w:color w:val="222222"/>
          <w:szCs w:val="24"/>
          <w:shd w:val="clear" w:color="auto" w:fill="FFFFFF"/>
        </w:rPr>
        <w:t xml:space="preserve">.  Migration Policy Institute.  Retrieved from: </w:t>
      </w:r>
      <w:hyperlink r:id="rId19" w:history="1">
        <w:r>
          <w:rPr>
            <w:rStyle w:val="Hyperlink"/>
          </w:rPr>
          <w:t>https://www.migrationpolicy.org/article/canada-policy-changes-and-integration-challenges-increasingly-diverse-society</w:t>
        </w:r>
      </w:hyperlink>
    </w:p>
    <w:p w14:paraId="41FFDBE8" w14:textId="5C40DBED"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Reitz, J. G. (1998). Warmth of the Welcome: The Social Causes of Economic Success for Immigrants in Different Nations and Cities (Boulder, CO</w:t>
      </w:r>
      <w:r w:rsidR="006B5D41">
        <w:rPr>
          <w:rFonts w:cs="Times New Roman"/>
          <w:color w:val="222222"/>
          <w:szCs w:val="24"/>
          <w:shd w:val="clear" w:color="auto" w:fill="FFFFFF"/>
        </w:rPr>
        <w:t>)</w:t>
      </w:r>
      <w:r w:rsidRPr="006D6E62">
        <w:rPr>
          <w:rFonts w:cs="Times New Roman"/>
          <w:color w:val="222222"/>
          <w:szCs w:val="24"/>
          <w:shd w:val="clear" w:color="auto" w:fill="FFFFFF"/>
        </w:rPr>
        <w:t>.</w:t>
      </w:r>
    </w:p>
    <w:p w14:paraId="0FA43943"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Rich, H. (1975). The Canadian Case for a Representative Bureaucracy. Political Science, 27(1-2), 97-110.</w:t>
      </w:r>
    </w:p>
    <w:p w14:paraId="77140900" w14:textId="77777777" w:rsidR="0022604A" w:rsidRPr="001C7BA7" w:rsidRDefault="003D5B90" w:rsidP="0022604A">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Rioux</w:t>
      </w:r>
      <w:proofErr w:type="spellEnd"/>
      <w:r w:rsidRPr="006D6E62">
        <w:rPr>
          <w:rFonts w:cs="Times New Roman"/>
          <w:color w:val="222222"/>
          <w:szCs w:val="24"/>
          <w:shd w:val="clear" w:color="auto" w:fill="FFFFFF"/>
        </w:rPr>
        <w:t xml:space="preserve">, M. H. (1985). Labelled disabled and wanting to work. Research studies of the Commission on Equality in Employment, ed R. </w:t>
      </w:r>
      <w:proofErr w:type="spellStart"/>
      <w:r w:rsidRPr="006D6E62">
        <w:rPr>
          <w:rFonts w:cs="Times New Roman"/>
          <w:color w:val="222222"/>
          <w:szCs w:val="24"/>
          <w:shd w:val="clear" w:color="auto" w:fill="FFFFFF"/>
        </w:rPr>
        <w:t>Abella</w:t>
      </w:r>
      <w:proofErr w:type="spellEnd"/>
      <w:r w:rsidRPr="006D6E62">
        <w:rPr>
          <w:rFonts w:cs="Times New Roman"/>
          <w:color w:val="222222"/>
          <w:szCs w:val="24"/>
          <w:shd w:val="clear" w:color="auto" w:fill="FFFFFF"/>
        </w:rPr>
        <w:t xml:space="preserve"> (Ottawa: Minister of Supply and </w:t>
      </w:r>
      <w:r w:rsidRPr="001C7BA7">
        <w:rPr>
          <w:rFonts w:cs="Times New Roman"/>
          <w:color w:val="222222"/>
          <w:szCs w:val="24"/>
          <w:shd w:val="clear" w:color="auto" w:fill="FFFFFF"/>
        </w:rPr>
        <w:t>Services Canada), 613-639.</w:t>
      </w:r>
    </w:p>
    <w:p w14:paraId="7BF5C3CA" w14:textId="7CD79FA2" w:rsidR="0022604A" w:rsidRPr="001C7BA7" w:rsidRDefault="0022604A" w:rsidP="001C7BA7">
      <w:pPr>
        <w:ind w:left="720" w:hanging="720"/>
        <w:rPr>
          <w:rFonts w:cs="Times New Roman"/>
          <w:color w:val="222222"/>
          <w:szCs w:val="24"/>
          <w:shd w:val="clear" w:color="auto" w:fill="FFFFFF"/>
        </w:rPr>
      </w:pPr>
      <w:r w:rsidRPr="001C7BA7">
        <w:rPr>
          <w:rFonts w:eastAsia="Times New Roman" w:cs="Times New Roman"/>
          <w:color w:val="222222"/>
          <w:szCs w:val="24"/>
          <w:shd w:val="clear" w:color="auto" w:fill="FFFFFF"/>
        </w:rPr>
        <w:t>Sabatier, C., &amp; Berry, J. W. (2008). The role of family acculturation, parental style, and perceived discrimination in the adaptation of second-generation immigrant youth in France and Canada. </w:t>
      </w:r>
      <w:r w:rsidRPr="001C7BA7">
        <w:rPr>
          <w:rFonts w:eastAsia="Times New Roman" w:cs="Times New Roman"/>
          <w:i/>
          <w:iCs/>
          <w:color w:val="222222"/>
          <w:szCs w:val="24"/>
          <w:shd w:val="clear" w:color="auto" w:fill="FFFFFF"/>
        </w:rPr>
        <w:t>European journal of developmental psychology</w:t>
      </w:r>
      <w:r w:rsidRPr="001C7BA7">
        <w:rPr>
          <w:rFonts w:eastAsia="Times New Roman" w:cs="Times New Roman"/>
          <w:color w:val="222222"/>
          <w:szCs w:val="24"/>
          <w:shd w:val="clear" w:color="auto" w:fill="FFFFFF"/>
        </w:rPr>
        <w:t>, </w:t>
      </w:r>
      <w:r w:rsidRPr="001C7BA7">
        <w:rPr>
          <w:rFonts w:eastAsia="Times New Roman" w:cs="Times New Roman"/>
          <w:i/>
          <w:iCs/>
          <w:color w:val="222222"/>
          <w:szCs w:val="24"/>
          <w:shd w:val="clear" w:color="auto" w:fill="FFFFFF"/>
        </w:rPr>
        <w:t>5</w:t>
      </w:r>
      <w:r w:rsidRPr="001C7BA7">
        <w:rPr>
          <w:rFonts w:eastAsia="Times New Roman" w:cs="Times New Roman"/>
          <w:color w:val="222222"/>
          <w:szCs w:val="24"/>
          <w:shd w:val="clear" w:color="auto" w:fill="FFFFFF"/>
        </w:rPr>
        <w:t>(2), 159-185.</w:t>
      </w:r>
    </w:p>
    <w:p w14:paraId="60BBDF80"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Selden, S. C., </w:t>
      </w:r>
      <w:proofErr w:type="spellStart"/>
      <w:r w:rsidRPr="006D6E62">
        <w:rPr>
          <w:rFonts w:cs="Times New Roman"/>
          <w:color w:val="222222"/>
          <w:szCs w:val="24"/>
          <w:shd w:val="clear" w:color="auto" w:fill="FFFFFF"/>
        </w:rPr>
        <w:t>Brudney</w:t>
      </w:r>
      <w:proofErr w:type="spellEnd"/>
      <w:r w:rsidRPr="006D6E62">
        <w:rPr>
          <w:rFonts w:cs="Times New Roman"/>
          <w:color w:val="222222"/>
          <w:szCs w:val="24"/>
          <w:shd w:val="clear" w:color="auto" w:fill="FFFFFF"/>
        </w:rPr>
        <w:t xml:space="preserve">, J. L., &amp; </w:t>
      </w:r>
      <w:proofErr w:type="spellStart"/>
      <w:r w:rsidRPr="006D6E62">
        <w:rPr>
          <w:rFonts w:cs="Times New Roman"/>
          <w:color w:val="222222"/>
          <w:szCs w:val="24"/>
          <w:shd w:val="clear" w:color="auto" w:fill="FFFFFF"/>
        </w:rPr>
        <w:t>Kellough</w:t>
      </w:r>
      <w:proofErr w:type="spellEnd"/>
      <w:r w:rsidRPr="006D6E62">
        <w:rPr>
          <w:rFonts w:cs="Times New Roman"/>
          <w:color w:val="222222"/>
          <w:szCs w:val="24"/>
          <w:shd w:val="clear" w:color="auto" w:fill="FFFFFF"/>
        </w:rPr>
        <w:t xml:space="preserve">, J. E. (1998). Bureaucracy as a representative institution: Toward a reconciliation of bureaucratic government and democratic </w:t>
      </w:r>
      <w:r w:rsidRPr="006D6E62">
        <w:rPr>
          <w:rFonts w:cs="Times New Roman"/>
          <w:color w:val="222222"/>
          <w:szCs w:val="24"/>
          <w:shd w:val="clear" w:color="auto" w:fill="FFFFFF"/>
        </w:rPr>
        <w:lastRenderedPageBreak/>
        <w:t>theory. Representative Bureaucracy: Classic Readings and Continued Controversies, 134-154.</w:t>
      </w:r>
    </w:p>
    <w:p w14:paraId="227A160E"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Senate Report. (2012). Special subcommittee on diversity of the standing committee on internal economy, budgets and administration. Retrieved from </w:t>
      </w:r>
      <w:hyperlink r:id="rId20" w:history="1">
        <w:r w:rsidRPr="006D6E62">
          <w:rPr>
            <w:rStyle w:val="Hyperlink"/>
            <w:rFonts w:cs="Times New Roman"/>
            <w:szCs w:val="24"/>
          </w:rPr>
          <w:t>https://sencanada.ca/content/sen/Committee/411/ciba/rep/rep16dec12-e.pdf</w:t>
        </w:r>
      </w:hyperlink>
    </w:p>
    <w:p w14:paraId="40ACE7C9"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Standing Senate Committee on Human Rights. (2013). Employment equity in the Federal Public Service: Staying Vigilant for Equality. Retrieved from </w:t>
      </w:r>
      <w:hyperlink r:id="rId21" w:history="1">
        <w:r w:rsidRPr="006D6E62">
          <w:rPr>
            <w:rStyle w:val="Hyperlink"/>
            <w:rFonts w:cs="Times New Roman"/>
            <w:szCs w:val="24"/>
          </w:rPr>
          <w:t>https://sencanada.ca/content/sen/Committee/412/ridr/rep/rep02dec13-e.pdf</w:t>
        </w:r>
      </w:hyperlink>
    </w:p>
    <w:p w14:paraId="4444D58C"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Senate Report. (2018). Diversity in the senate: From Aspiration to Action. Retrieved from </w:t>
      </w:r>
      <w:hyperlink r:id="rId22" w:history="1">
        <w:r w:rsidRPr="006D6E62">
          <w:rPr>
            <w:rStyle w:val="Hyperlink"/>
            <w:rFonts w:cs="Times New Roman"/>
            <w:szCs w:val="24"/>
          </w:rPr>
          <w:t>https://sencanada.ca/content/sen/committee/421/CIBA/Reports/CIBA_DVSC_Web_E.pdf</w:t>
        </w:r>
      </w:hyperlink>
    </w:p>
    <w:p w14:paraId="1FC1394C" w14:textId="77777777" w:rsidR="003D5B90" w:rsidRPr="006D6E62" w:rsidRDefault="003D5B90" w:rsidP="003D5B90">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Sharzer</w:t>
      </w:r>
      <w:proofErr w:type="spellEnd"/>
      <w:r w:rsidRPr="006D6E62">
        <w:rPr>
          <w:rFonts w:cs="Times New Roman"/>
          <w:color w:val="222222"/>
          <w:szCs w:val="24"/>
          <w:shd w:val="clear" w:color="auto" w:fill="FFFFFF"/>
        </w:rPr>
        <w:t>, S. (1985). Native People: Some Issues. Research Studies of the Commission on Equality in Employment.</w:t>
      </w:r>
    </w:p>
    <w:p w14:paraId="52BFDF7E" w14:textId="77777777" w:rsidR="003D5B90" w:rsidRPr="006D6E62" w:rsidRDefault="003D5B90" w:rsidP="003D5B90">
      <w:pPr>
        <w:ind w:left="720" w:hanging="720"/>
        <w:rPr>
          <w:rFonts w:cs="Times New Roman"/>
          <w:color w:val="222222"/>
          <w:szCs w:val="24"/>
          <w:shd w:val="clear" w:color="auto" w:fill="FFFFFF"/>
        </w:rPr>
      </w:pPr>
      <w:r w:rsidRPr="000B6FBE">
        <w:rPr>
          <w:rFonts w:cs="Times New Roman"/>
          <w:color w:val="222222"/>
          <w:szCs w:val="24"/>
          <w:shd w:val="clear" w:color="auto" w:fill="FFFFFF"/>
        </w:rPr>
        <w:t xml:space="preserve">Sowa, J. E., &amp; Selden, S. C. (2003). </w:t>
      </w:r>
      <w:r w:rsidRPr="006D6E62">
        <w:rPr>
          <w:rFonts w:cs="Times New Roman"/>
          <w:color w:val="222222"/>
          <w:szCs w:val="24"/>
          <w:shd w:val="clear" w:color="auto" w:fill="FFFFFF"/>
        </w:rPr>
        <w:t>Administrative discretion and active representation: An expansion of the theory of representative bureaucracy. Public Administration Review, 63(6), 700-710.</w:t>
      </w:r>
    </w:p>
    <w:p w14:paraId="25EDB82C"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Stratton, J., &amp; Ang, I. (1994). Multicultural imagined communities: Cultural difference and national identity in Australia and the USA. Continuum, 8(2), 124-158.</w:t>
      </w:r>
    </w:p>
    <w:p w14:paraId="2BBF29D5"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Statistics Canada. (2011). Obtaining Canadian citizenship. Retrieved from: </w:t>
      </w:r>
      <w:hyperlink r:id="rId23" w:history="1">
        <w:r w:rsidRPr="006D6E62">
          <w:rPr>
            <w:rStyle w:val="Hyperlink"/>
            <w:rFonts w:cs="Times New Roman"/>
            <w:szCs w:val="24"/>
          </w:rPr>
          <w:t>https://www12.statcan.gc.ca/nhs-enm/2011/as-sa/99-010-x/99-010-x2011003_1-eng.cfm</w:t>
        </w:r>
      </w:hyperlink>
    </w:p>
    <w:p w14:paraId="5FB48C8B"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Statistics Canada (2013). Immigration and Ethnocultural Diversity in Canada. Retrieved from: </w:t>
      </w:r>
      <w:hyperlink r:id="rId24" w:history="1">
        <w:r w:rsidRPr="006D6E62">
          <w:rPr>
            <w:rStyle w:val="Hyperlink"/>
            <w:rFonts w:cs="Times New Roman"/>
            <w:szCs w:val="24"/>
          </w:rPr>
          <w:t>https://www12.statcan.gc.ca/nhs-enm/2011/as-sa/99-010-x/99-010-x2011001-eng.pdf</w:t>
        </w:r>
      </w:hyperlink>
    </w:p>
    <w:p w14:paraId="2C80AB3B"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Statistics Canada. (2017). Focus on Geography, 2016 Census. Retrieved from </w:t>
      </w:r>
      <w:hyperlink r:id="rId25" w:history="1">
        <w:r w:rsidRPr="006D6E62">
          <w:rPr>
            <w:rStyle w:val="Hyperlink"/>
            <w:rFonts w:cs="Times New Roman"/>
            <w:szCs w:val="24"/>
          </w:rPr>
          <w:t>https://www12.statcan.gc.ca/census-recensement/2016/as-sa/fogs-spg/Facts-can-eng.cfm?Lang=Eng&amp;GK=CAN&amp;GC=01&amp;TOPIC=1</w:t>
        </w:r>
      </w:hyperlink>
    </w:p>
    <w:p w14:paraId="5F35BE23" w14:textId="77777777" w:rsidR="003D5B90" w:rsidRPr="006D6E62" w:rsidRDefault="003D5B90" w:rsidP="003D5B90">
      <w:pPr>
        <w:ind w:left="720" w:hanging="720"/>
        <w:rPr>
          <w:rStyle w:val="Hyperlink"/>
          <w:rFonts w:cs="Times New Roman"/>
          <w:szCs w:val="24"/>
        </w:rPr>
      </w:pPr>
      <w:r w:rsidRPr="006D6E62">
        <w:rPr>
          <w:rFonts w:cs="Times New Roman"/>
          <w:color w:val="222222"/>
          <w:szCs w:val="24"/>
          <w:shd w:val="clear" w:color="auto" w:fill="FFFFFF"/>
        </w:rPr>
        <w:t xml:space="preserve">Statistics Canada (2017). Immigration and Diversity: Population Projections for Canada and its Regions, 2011 to 2036.  Retrieved from: </w:t>
      </w:r>
      <w:hyperlink r:id="rId26" w:history="1">
        <w:r w:rsidRPr="006D6E62">
          <w:rPr>
            <w:rStyle w:val="Hyperlink"/>
            <w:rFonts w:cs="Times New Roman"/>
            <w:szCs w:val="24"/>
          </w:rPr>
          <w:t>https://www150.statcan.gc.ca/n1/pub/91-551-x/91-551-x2017001-eng.htm</w:t>
        </w:r>
      </w:hyperlink>
    </w:p>
    <w:p w14:paraId="2BCC3E66"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Statistics Canada. (2017). Immigration and ethnocultural diversity: Key results from the 2016 census. Retrieved from </w:t>
      </w:r>
      <w:hyperlink r:id="rId27" w:history="1">
        <w:r w:rsidRPr="006D6E62">
          <w:rPr>
            <w:rStyle w:val="Hyperlink"/>
            <w:rFonts w:cs="Times New Roman"/>
            <w:szCs w:val="24"/>
          </w:rPr>
          <w:t>https://www150.statcan.gc.ca/n1/en/daily-quotidien/171025/dq171025b-eng.pdf?st=dBjBKt0r</w:t>
        </w:r>
      </w:hyperlink>
    </w:p>
    <w:p w14:paraId="5582A84B" w14:textId="77777777" w:rsidR="003D5B90" w:rsidRPr="006D6E62" w:rsidRDefault="003D5B90" w:rsidP="003D5B90">
      <w:pPr>
        <w:ind w:left="720" w:hanging="720"/>
        <w:rPr>
          <w:rFonts w:cs="Times New Roman"/>
          <w:szCs w:val="24"/>
        </w:rPr>
      </w:pPr>
      <w:r w:rsidRPr="006D6E62">
        <w:rPr>
          <w:rFonts w:cs="Times New Roman"/>
          <w:color w:val="222222"/>
          <w:szCs w:val="24"/>
          <w:shd w:val="clear" w:color="auto" w:fill="FFFFFF"/>
        </w:rPr>
        <w:lastRenderedPageBreak/>
        <w:t xml:space="preserve">Statistics Canada. (2017). Linguistic Diversity and Multilingualism in Canadian homes. Retrieved from: </w:t>
      </w:r>
      <w:hyperlink r:id="rId28" w:history="1">
        <w:r w:rsidRPr="006D6E62">
          <w:rPr>
            <w:rStyle w:val="Hyperlink"/>
            <w:rFonts w:cs="Times New Roman"/>
            <w:szCs w:val="24"/>
          </w:rPr>
          <w:t>https://www12.statcan.gc.ca/census-recensement/2016/as-sa/98-200-x/2016010/98-200-x2016010-eng.cfm</w:t>
        </w:r>
      </w:hyperlink>
    </w:p>
    <w:p w14:paraId="14F3E935" w14:textId="0E4A4836" w:rsidR="00ED279A" w:rsidRDefault="003D5B90" w:rsidP="00ED279A">
      <w:pPr>
        <w:ind w:left="720" w:hanging="720"/>
        <w:rPr>
          <w:rStyle w:val="Hyperlink"/>
          <w:rFonts w:cs="Times New Roman"/>
          <w:szCs w:val="24"/>
        </w:rPr>
      </w:pPr>
      <w:r w:rsidRPr="006D6E62">
        <w:rPr>
          <w:rFonts w:cs="Times New Roman"/>
          <w:color w:val="222222"/>
          <w:szCs w:val="24"/>
          <w:shd w:val="clear" w:color="auto" w:fill="FFFFFF"/>
        </w:rPr>
        <w:t xml:space="preserve">Statistics Canada. (2018). The evolution of language populations in Canada, by mother tongue, from 1901 to 2016. Retrieved from </w:t>
      </w:r>
      <w:hyperlink r:id="rId29" w:history="1">
        <w:r w:rsidRPr="006D6E62">
          <w:rPr>
            <w:rStyle w:val="Hyperlink"/>
            <w:rFonts w:cs="Times New Roman"/>
            <w:szCs w:val="24"/>
          </w:rPr>
          <w:t>https://www150.statcan.gc.ca/n1/en/pub/11-630-x/11-630-x2018001-eng.pdf?st=cgDy__7V</w:t>
        </w:r>
      </w:hyperlink>
    </w:p>
    <w:p w14:paraId="52C0F531" w14:textId="3BF5D839" w:rsidR="000B3C00" w:rsidRPr="001C7BA7" w:rsidRDefault="000B3C00" w:rsidP="001C7BA7">
      <w:pPr>
        <w:ind w:left="720" w:hanging="720"/>
        <w:rPr>
          <w:rStyle w:val="Hyperlink"/>
          <w:rFonts w:cs="Times New Roman"/>
          <w:color w:val="222222"/>
          <w:szCs w:val="24"/>
          <w:u w:val="none"/>
          <w:shd w:val="clear" w:color="auto" w:fill="FFFFFF"/>
        </w:rPr>
      </w:pPr>
      <w:proofErr w:type="spellStart"/>
      <w:r>
        <w:rPr>
          <w:rFonts w:cs="Times New Roman"/>
          <w:color w:val="222222"/>
          <w:szCs w:val="24"/>
          <w:shd w:val="clear" w:color="auto" w:fill="FFFFFF"/>
        </w:rPr>
        <w:t>Strupczeski</w:t>
      </w:r>
      <w:proofErr w:type="spellEnd"/>
      <w:r>
        <w:rPr>
          <w:rFonts w:cs="Times New Roman"/>
          <w:color w:val="222222"/>
          <w:szCs w:val="24"/>
          <w:shd w:val="clear" w:color="auto" w:fill="FFFFFF"/>
        </w:rPr>
        <w:t xml:space="preserve">, J. &amp; </w:t>
      </w:r>
      <w:proofErr w:type="spellStart"/>
      <w:r>
        <w:rPr>
          <w:rFonts w:cs="Times New Roman"/>
          <w:color w:val="222222"/>
          <w:szCs w:val="24"/>
          <w:shd w:val="clear" w:color="auto" w:fill="FFFFFF"/>
        </w:rPr>
        <w:t>Echikson</w:t>
      </w:r>
      <w:proofErr w:type="spellEnd"/>
      <w:r>
        <w:rPr>
          <w:rFonts w:cs="Times New Roman"/>
          <w:color w:val="222222"/>
          <w:szCs w:val="24"/>
          <w:shd w:val="clear" w:color="auto" w:fill="FFFFFF"/>
        </w:rPr>
        <w:t xml:space="preserve">, J (2018).  </w:t>
      </w:r>
      <w:r w:rsidRPr="001C7BA7">
        <w:rPr>
          <w:rFonts w:cs="Times New Roman"/>
          <w:color w:val="222222"/>
          <w:szCs w:val="24"/>
          <w:shd w:val="clear" w:color="auto" w:fill="FFFFFF"/>
        </w:rPr>
        <w:t>Immigration, terrorism top concern list of Europeans: poll</w:t>
      </w:r>
      <w:r>
        <w:rPr>
          <w:rFonts w:cs="Times New Roman"/>
          <w:color w:val="222222"/>
          <w:szCs w:val="24"/>
          <w:shd w:val="clear" w:color="auto" w:fill="FFFFFF"/>
        </w:rPr>
        <w:t xml:space="preserve">.  Retrieved from: </w:t>
      </w:r>
      <w:hyperlink r:id="rId30" w:history="1">
        <w:r>
          <w:rPr>
            <w:rStyle w:val="Hyperlink"/>
          </w:rPr>
          <w:t>https://www.reuters.com/article/us-eu-eurobarometer/immigration-terrorism-top-concern-list-of-europeans-poll-idUSKBN1JA2FX</w:t>
        </w:r>
      </w:hyperlink>
    </w:p>
    <w:p w14:paraId="6BCF2620" w14:textId="0ADB8A43" w:rsidR="00ED279A" w:rsidRPr="00ED279A" w:rsidRDefault="00ED279A" w:rsidP="00ED279A">
      <w:pPr>
        <w:ind w:left="720" w:hanging="720"/>
        <w:rPr>
          <w:rFonts w:cs="Times New Roman"/>
          <w:color w:val="222222"/>
          <w:szCs w:val="24"/>
          <w:shd w:val="clear" w:color="auto" w:fill="FFFFFF"/>
        </w:rPr>
      </w:pPr>
      <w:r w:rsidRPr="00ED279A">
        <w:rPr>
          <w:rFonts w:cs="Times New Roman"/>
          <w:color w:val="222222"/>
          <w:szCs w:val="24"/>
          <w:shd w:val="clear" w:color="auto" w:fill="FFFFFF"/>
        </w:rPr>
        <w:t>Taylor, K. W. (1991). Racism in Canadian immigration policy. </w:t>
      </w:r>
      <w:r w:rsidRPr="00ED279A">
        <w:rPr>
          <w:rFonts w:cs="Times New Roman"/>
          <w:i/>
          <w:iCs/>
          <w:color w:val="222222"/>
          <w:szCs w:val="24"/>
          <w:shd w:val="clear" w:color="auto" w:fill="FFFFFF"/>
        </w:rPr>
        <w:t xml:space="preserve">Canadian Ethnic Studies/Etudes </w:t>
      </w:r>
      <w:proofErr w:type="spellStart"/>
      <w:r w:rsidRPr="00ED279A">
        <w:rPr>
          <w:rFonts w:cs="Times New Roman"/>
          <w:i/>
          <w:iCs/>
          <w:color w:val="222222"/>
          <w:szCs w:val="24"/>
          <w:shd w:val="clear" w:color="auto" w:fill="FFFFFF"/>
        </w:rPr>
        <w:t>Ethniques</w:t>
      </w:r>
      <w:proofErr w:type="spellEnd"/>
      <w:r w:rsidRPr="00ED279A">
        <w:rPr>
          <w:rFonts w:cs="Times New Roman"/>
          <w:i/>
          <w:iCs/>
          <w:color w:val="222222"/>
          <w:szCs w:val="24"/>
          <w:shd w:val="clear" w:color="auto" w:fill="FFFFFF"/>
        </w:rPr>
        <w:t xml:space="preserve"> au Canada, 23</w:t>
      </w:r>
      <w:r w:rsidRPr="00ED279A">
        <w:rPr>
          <w:rFonts w:cs="Times New Roman"/>
          <w:color w:val="222222"/>
          <w:szCs w:val="24"/>
          <w:shd w:val="clear" w:color="auto" w:fill="FFFFFF"/>
        </w:rPr>
        <w:t>(1), 1</w:t>
      </w:r>
      <w:r>
        <w:rPr>
          <w:rFonts w:cs="Times New Roman"/>
          <w:color w:val="222222"/>
          <w:szCs w:val="24"/>
          <w:shd w:val="clear" w:color="auto" w:fill="FFFFFF"/>
        </w:rPr>
        <w:t>-20</w:t>
      </w:r>
      <w:r w:rsidRPr="00ED279A">
        <w:rPr>
          <w:rFonts w:cs="Times New Roman"/>
          <w:color w:val="222222"/>
          <w:szCs w:val="24"/>
          <w:shd w:val="clear" w:color="auto" w:fill="FFFFFF"/>
        </w:rPr>
        <w:t>.</w:t>
      </w:r>
    </w:p>
    <w:p w14:paraId="7F105B08" w14:textId="77777777" w:rsidR="008069AC" w:rsidRDefault="003D5B90" w:rsidP="008069AC">
      <w:pPr>
        <w:ind w:left="720" w:hanging="720"/>
        <w:rPr>
          <w:rFonts w:cs="Times New Roman"/>
          <w:color w:val="222222"/>
          <w:szCs w:val="24"/>
          <w:shd w:val="clear" w:color="auto" w:fill="FFFFFF"/>
        </w:rPr>
      </w:pPr>
      <w:proofErr w:type="spellStart"/>
      <w:r w:rsidRPr="006D6E62">
        <w:rPr>
          <w:rFonts w:cs="Times New Roman"/>
          <w:color w:val="222222"/>
          <w:szCs w:val="24"/>
          <w:shd w:val="clear" w:color="auto" w:fill="FFFFFF"/>
        </w:rPr>
        <w:t>Theiss</w:t>
      </w:r>
      <w:proofErr w:type="spellEnd"/>
      <w:r w:rsidRPr="006D6E62">
        <w:rPr>
          <w:rFonts w:cs="Times New Roman"/>
          <w:color w:val="222222"/>
          <w:szCs w:val="24"/>
          <w:shd w:val="clear" w:color="auto" w:fill="FFFFFF"/>
        </w:rPr>
        <w:t xml:space="preserve">-Morse, E. (2009). Who counts as an </w:t>
      </w:r>
      <w:proofErr w:type="gramStart"/>
      <w:r w:rsidRPr="006D6E62">
        <w:rPr>
          <w:rFonts w:cs="Times New Roman"/>
          <w:color w:val="222222"/>
          <w:szCs w:val="24"/>
          <w:shd w:val="clear" w:color="auto" w:fill="FFFFFF"/>
        </w:rPr>
        <w:t>American?:</w:t>
      </w:r>
      <w:proofErr w:type="gramEnd"/>
      <w:r w:rsidRPr="006D6E62">
        <w:rPr>
          <w:rFonts w:cs="Times New Roman"/>
          <w:color w:val="222222"/>
          <w:szCs w:val="24"/>
          <w:shd w:val="clear" w:color="auto" w:fill="FFFFFF"/>
        </w:rPr>
        <w:t xml:space="preserve"> The boundaries of national identity. Cambridge University Press.</w:t>
      </w:r>
    </w:p>
    <w:p w14:paraId="08FAD0C4" w14:textId="1003DBB5" w:rsidR="008069AC" w:rsidRPr="001D2507" w:rsidRDefault="008069AC" w:rsidP="000D5758">
      <w:pPr>
        <w:ind w:left="720" w:hanging="720"/>
        <w:rPr>
          <w:rStyle w:val="Hyperlink"/>
          <w:rFonts w:cs="Times New Roman"/>
          <w:color w:val="222222"/>
          <w:szCs w:val="24"/>
          <w:u w:val="none"/>
          <w:shd w:val="clear" w:color="auto" w:fill="FFFFFF"/>
        </w:rPr>
      </w:pPr>
      <w:r>
        <w:rPr>
          <w:rFonts w:cs="Times New Roman"/>
          <w:color w:val="222222"/>
          <w:szCs w:val="24"/>
          <w:shd w:val="clear" w:color="auto" w:fill="FFFFFF"/>
        </w:rPr>
        <w:t xml:space="preserve">Thompson, E. (2013).  </w:t>
      </w:r>
      <w:r w:rsidRPr="001D2507">
        <w:rPr>
          <w:rFonts w:cs="Times New Roman"/>
          <w:color w:val="222222"/>
          <w:szCs w:val="24"/>
          <w:shd w:val="clear" w:color="auto" w:fill="FFFFFF"/>
        </w:rPr>
        <w:t>Harper government reduces employment equity requirements for contractors</w:t>
      </w:r>
      <w:r>
        <w:rPr>
          <w:rFonts w:cs="Times New Roman"/>
          <w:color w:val="222222"/>
          <w:szCs w:val="24"/>
          <w:shd w:val="clear" w:color="auto" w:fill="FFFFFF"/>
        </w:rPr>
        <w:t>.  Retrieved from:</w:t>
      </w:r>
      <w:r w:rsidRPr="008069AC">
        <w:t xml:space="preserve"> </w:t>
      </w:r>
      <w:hyperlink r:id="rId31" w:history="1">
        <w:r>
          <w:rPr>
            <w:rStyle w:val="Hyperlink"/>
          </w:rPr>
          <w:t>https://ipolitics.ca/2013/06/28/harper-government-reduces-employment-equity-requirements-for-contractors/</w:t>
        </w:r>
      </w:hyperlink>
    </w:p>
    <w:p w14:paraId="6C09EE73"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Timpson, A. M. (2006). Stretching the concept of representative bureaucracy: The case of Nunavut. International Review of Administrative Sciences, 72(4), 517-530.</w:t>
      </w:r>
    </w:p>
    <w:p w14:paraId="540D99B4"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Treasury Board of Canada Secretariat. (2017). Building a diverse and inclusive public service: Final report – joint Union/Management Task Force on Diversity and Inclusion. Retrieved from </w:t>
      </w:r>
      <w:hyperlink r:id="rId32" w:history="1">
        <w:r w:rsidRPr="006D6E62">
          <w:rPr>
            <w:rStyle w:val="Hyperlink"/>
            <w:rFonts w:cs="Times New Roman"/>
            <w:szCs w:val="24"/>
          </w:rPr>
          <w:t>http://publications.gc.ca/collections/collection_2017/sct-tbs/BT22-184-2017-eng.pdf</w:t>
        </w:r>
      </w:hyperlink>
    </w:p>
    <w:p w14:paraId="28CE65D5" w14:textId="77777777" w:rsidR="003D5B90" w:rsidRPr="006D6E62"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Treasury Board of Canada Secretariat. (2019). Employment Equity in the Public Service of Canada 2017-2018. Retrieved from </w:t>
      </w:r>
      <w:hyperlink r:id="rId33" w:history="1">
        <w:r w:rsidRPr="006D6E62">
          <w:rPr>
            <w:rStyle w:val="Hyperlink"/>
            <w:rFonts w:cs="Times New Roman"/>
            <w:szCs w:val="24"/>
          </w:rPr>
          <w:t>https://www.canada.ca/content/dam/tbs-sct/documents/employment-equity-report/20190315-eng.pdf</w:t>
        </w:r>
      </w:hyperlink>
    </w:p>
    <w:p w14:paraId="1CE8A9D6" w14:textId="35C34F89" w:rsidR="00516262" w:rsidRPr="000B6FBE" w:rsidRDefault="003D5B90" w:rsidP="003D5B90">
      <w:pPr>
        <w:ind w:left="720" w:hanging="720"/>
        <w:rPr>
          <w:rFonts w:cs="Times New Roman"/>
          <w:color w:val="222222"/>
          <w:szCs w:val="24"/>
          <w:shd w:val="clear" w:color="auto" w:fill="FFFFFF"/>
        </w:rPr>
      </w:pPr>
      <w:r w:rsidRPr="006D6E62">
        <w:rPr>
          <w:rFonts w:cs="Times New Roman"/>
          <w:color w:val="222222"/>
          <w:szCs w:val="24"/>
          <w:shd w:val="clear" w:color="auto" w:fill="FFFFFF"/>
        </w:rPr>
        <w:t xml:space="preserve">Turgeon, L., &amp; Gagnon, A. G. (2013). Representative Bureaucracy in Canada. Representative Bureaucracy in Action: Country Profiles from the Americas, Europe, Africa and Asia. </w:t>
      </w:r>
      <w:r w:rsidRPr="000B6FBE">
        <w:rPr>
          <w:rFonts w:cs="Times New Roman"/>
          <w:color w:val="222222"/>
          <w:szCs w:val="24"/>
          <w:shd w:val="clear" w:color="auto" w:fill="FFFFFF"/>
        </w:rPr>
        <w:t>Cheltenham, UK, and Northampton, MA: Edward Elgar, 35-47.</w:t>
      </w:r>
    </w:p>
    <w:p w14:paraId="650FB5B2" w14:textId="77777777" w:rsidR="003D5B90" w:rsidRPr="006D6E62" w:rsidRDefault="003D5B90" w:rsidP="001D2507">
      <w:pPr>
        <w:ind w:left="720" w:hanging="720"/>
        <w:rPr>
          <w:rFonts w:cs="Times New Roman"/>
          <w:szCs w:val="24"/>
        </w:rPr>
      </w:pPr>
      <w:r w:rsidRPr="000B6FBE">
        <w:rPr>
          <w:rFonts w:cs="Times New Roman"/>
          <w:color w:val="222222"/>
          <w:szCs w:val="24"/>
          <w:shd w:val="clear" w:color="auto" w:fill="FFFFFF"/>
        </w:rPr>
        <w:t xml:space="preserve">Wilson, V. S., &amp; Mullins, W. A. (1978). </w:t>
      </w:r>
      <w:r w:rsidRPr="006D6E62">
        <w:rPr>
          <w:rFonts w:cs="Times New Roman"/>
          <w:color w:val="222222"/>
          <w:szCs w:val="24"/>
          <w:shd w:val="clear" w:color="auto" w:fill="FFFFFF"/>
        </w:rPr>
        <w:t>Representative bureaucracy: Linguistic/ethnic aspects in Canadian public policy. Canadian Public Administration, 21(4), 513-538.</w:t>
      </w:r>
    </w:p>
    <w:p w14:paraId="5336048F" w14:textId="3F216A95" w:rsidR="001D4AA8" w:rsidRPr="006D6E62" w:rsidRDefault="001D4AA8" w:rsidP="001D4AA8"/>
    <w:sectPr w:rsidR="001D4AA8" w:rsidRPr="006D6E6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800D88" w14:textId="77777777" w:rsidR="00C60C3B" w:rsidRDefault="00C60C3B" w:rsidP="007511FA">
      <w:pPr>
        <w:spacing w:line="240" w:lineRule="auto"/>
      </w:pPr>
      <w:r>
        <w:separator/>
      </w:r>
    </w:p>
  </w:endnote>
  <w:endnote w:type="continuationSeparator" w:id="0">
    <w:p w14:paraId="4340F644" w14:textId="77777777" w:rsidR="00C60C3B" w:rsidRDefault="00C60C3B" w:rsidP="00751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B0AE9" w14:textId="77777777" w:rsidR="00C60C3B" w:rsidRDefault="00C60C3B" w:rsidP="007511FA">
      <w:pPr>
        <w:spacing w:line="240" w:lineRule="auto"/>
      </w:pPr>
      <w:r>
        <w:separator/>
      </w:r>
    </w:p>
  </w:footnote>
  <w:footnote w:type="continuationSeparator" w:id="0">
    <w:p w14:paraId="3D7200BB" w14:textId="77777777" w:rsidR="00C60C3B" w:rsidRDefault="00C60C3B" w:rsidP="007511FA">
      <w:pPr>
        <w:spacing w:line="240" w:lineRule="auto"/>
      </w:pPr>
      <w:r>
        <w:continuationSeparator/>
      </w:r>
    </w:p>
  </w:footnote>
  <w:footnote w:id="1">
    <w:p w14:paraId="7690189F" w14:textId="0049CD4D" w:rsidR="008B641A" w:rsidRPr="000465E6" w:rsidRDefault="008B641A" w:rsidP="000465E6">
      <w:pPr>
        <w:pStyle w:val="FootnoteText"/>
        <w:rPr>
          <w:sz w:val="22"/>
          <w:szCs w:val="22"/>
          <w:lang w:val="en-US"/>
        </w:rPr>
      </w:pPr>
      <w:r w:rsidRPr="001D2507">
        <w:rPr>
          <w:rStyle w:val="FootnoteReference"/>
          <w:sz w:val="22"/>
          <w:szCs w:val="22"/>
        </w:rPr>
        <w:footnoteRef/>
      </w:r>
      <w:r w:rsidRPr="001D2507">
        <w:rPr>
          <w:sz w:val="22"/>
          <w:szCs w:val="22"/>
        </w:rPr>
        <w:t xml:space="preserve"> </w:t>
      </w:r>
      <w:r w:rsidRPr="000465E6">
        <w:rPr>
          <w:rFonts w:cs="Times New Roman"/>
          <w:sz w:val="22"/>
          <w:szCs w:val="22"/>
          <w:lang w:val="en-US"/>
        </w:rPr>
        <w:t xml:space="preserve">Statistics Canada uses the term “visible minorities” to refer to </w:t>
      </w:r>
      <w:r w:rsidRPr="00AF6886">
        <w:rPr>
          <w:rFonts w:eastAsia="Times New Roman" w:cs="Times New Roman"/>
          <w:color w:val="222222"/>
          <w:sz w:val="22"/>
          <w:szCs w:val="22"/>
          <w:shd w:val="clear" w:color="auto" w:fill="FFFFFF"/>
        </w:rPr>
        <w:t>persons, other than Indigenous</w:t>
      </w:r>
      <w:r w:rsidRPr="000465E6">
        <w:rPr>
          <w:rFonts w:eastAsia="Times New Roman" w:cs="Times New Roman"/>
          <w:color w:val="222222"/>
          <w:sz w:val="22"/>
          <w:szCs w:val="22"/>
          <w:shd w:val="clear" w:color="auto" w:fill="FFFFFF"/>
        </w:rPr>
        <w:t xml:space="preserve"> peoples, who are non-Caucasian in race or non-white in colour.  </w:t>
      </w:r>
    </w:p>
    <w:p w14:paraId="793C44B4" w14:textId="110D8094" w:rsidR="008B641A" w:rsidRPr="001D2507" w:rsidRDefault="008B641A">
      <w:pPr>
        <w:pStyle w:val="FootnoteText"/>
        <w:rPr>
          <w:lang w:val="en-US"/>
        </w:rPr>
      </w:pPr>
    </w:p>
  </w:footnote>
  <w:footnote w:id="2">
    <w:p w14:paraId="07F905DE" w14:textId="2A04D956" w:rsidR="008B641A" w:rsidRDefault="008B641A">
      <w:pPr>
        <w:pStyle w:val="FootnoteText"/>
      </w:pPr>
      <w:r>
        <w:rPr>
          <w:rStyle w:val="FootnoteReference"/>
        </w:rPr>
        <w:footnoteRef/>
      </w:r>
      <w:r>
        <w:t xml:space="preserve"> Other key measures, like hiring and termination rates in the public service and representation at senior, middle management and professional positions of visible minorities were only collected for the private sector.</w:t>
      </w:r>
    </w:p>
  </w:footnote>
  <w:footnote w:id="3">
    <w:p w14:paraId="6B0FBB8D" w14:textId="311AC823" w:rsidR="008B641A" w:rsidRDefault="008B641A">
      <w:pPr>
        <w:pStyle w:val="FootnoteText"/>
      </w:pPr>
      <w:r>
        <w:rPr>
          <w:rStyle w:val="FootnoteReference"/>
        </w:rPr>
        <w:footnoteRef/>
      </w:r>
      <w:r>
        <w:t xml:space="preserve"> The Senate Administration provides procedural, logistical, administrative, and planning support to appointed individual senators.  </w:t>
      </w:r>
    </w:p>
  </w:footnote>
  <w:footnote w:id="4">
    <w:p w14:paraId="00D5C79B" w14:textId="195C932F" w:rsidR="008B641A" w:rsidRDefault="008B641A">
      <w:pPr>
        <w:pStyle w:val="FootnoteText"/>
      </w:pPr>
      <w:r>
        <w:rPr>
          <w:rStyle w:val="FootnoteReference"/>
        </w:rPr>
        <w:footnoteRef/>
      </w:r>
      <w:r>
        <w:t xml:space="preserve"> Under the Trudeau government in 2015, the Senate underwent a reform of the appointment process.  A non-partisan review board, the Independent Advisory Board for Senate Appointments, was created to provide the acting prime ministers recommendations for candidates.  Recommendations are guided by non-partisan and merit-based criteria.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F57E5"/>
    <w:multiLevelType w:val="hybridMultilevel"/>
    <w:tmpl w:val="7DC2E85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5B44D7E"/>
    <w:multiLevelType w:val="hybridMultilevel"/>
    <w:tmpl w:val="51163C0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16E337E6"/>
    <w:multiLevelType w:val="hybridMultilevel"/>
    <w:tmpl w:val="5BD0A3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D1F755B"/>
    <w:multiLevelType w:val="hybridMultilevel"/>
    <w:tmpl w:val="08D657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EC52889"/>
    <w:multiLevelType w:val="hybridMultilevel"/>
    <w:tmpl w:val="4712099A"/>
    <w:lvl w:ilvl="0" w:tplc="3F8C405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11727C1"/>
    <w:multiLevelType w:val="hybridMultilevel"/>
    <w:tmpl w:val="A8D2FC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9195EA1"/>
    <w:multiLevelType w:val="hybridMultilevel"/>
    <w:tmpl w:val="7A7C725A"/>
    <w:lvl w:ilvl="0" w:tplc="3FCCCFF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CC711E1"/>
    <w:multiLevelType w:val="hybridMultilevel"/>
    <w:tmpl w:val="D33AD110"/>
    <w:lvl w:ilvl="0" w:tplc="BB96E416">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FA926FC"/>
    <w:multiLevelType w:val="hybridMultilevel"/>
    <w:tmpl w:val="AAFCFB8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320017F"/>
    <w:multiLevelType w:val="hybridMultilevel"/>
    <w:tmpl w:val="3A80A50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4CF1A73"/>
    <w:multiLevelType w:val="hybridMultilevel"/>
    <w:tmpl w:val="DA3A67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6146651"/>
    <w:multiLevelType w:val="hybridMultilevel"/>
    <w:tmpl w:val="BABC5B2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AFA5374"/>
    <w:multiLevelType w:val="hybridMultilevel"/>
    <w:tmpl w:val="B5EA6B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D291794"/>
    <w:multiLevelType w:val="hybridMultilevel"/>
    <w:tmpl w:val="644657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16C1A86"/>
    <w:multiLevelType w:val="hybridMultilevel"/>
    <w:tmpl w:val="5914CD2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49D774E9"/>
    <w:multiLevelType w:val="hybridMultilevel"/>
    <w:tmpl w:val="BEC2B9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D4E5C90"/>
    <w:multiLevelType w:val="hybridMultilevel"/>
    <w:tmpl w:val="7EE0DE6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4F4E2951"/>
    <w:multiLevelType w:val="hybridMultilevel"/>
    <w:tmpl w:val="94D2D5E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45600B1"/>
    <w:multiLevelType w:val="hybridMultilevel"/>
    <w:tmpl w:val="6AE40F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647D57FD"/>
    <w:multiLevelType w:val="hybridMultilevel"/>
    <w:tmpl w:val="A2BCB28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68607CB0"/>
    <w:multiLevelType w:val="hybridMultilevel"/>
    <w:tmpl w:val="622C974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74E65DEB"/>
    <w:multiLevelType w:val="hybridMultilevel"/>
    <w:tmpl w:val="953ED72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754828FC"/>
    <w:multiLevelType w:val="hybridMultilevel"/>
    <w:tmpl w:val="EC702F6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76EB6804"/>
    <w:multiLevelType w:val="hybridMultilevel"/>
    <w:tmpl w:val="83BA0C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78616099"/>
    <w:multiLevelType w:val="hybridMultilevel"/>
    <w:tmpl w:val="2DA801D0"/>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16"/>
  </w:num>
  <w:num w:numId="4">
    <w:abstractNumId w:val="21"/>
  </w:num>
  <w:num w:numId="5">
    <w:abstractNumId w:val="10"/>
  </w:num>
  <w:num w:numId="6">
    <w:abstractNumId w:val="3"/>
  </w:num>
  <w:num w:numId="7">
    <w:abstractNumId w:val="19"/>
  </w:num>
  <w:num w:numId="8">
    <w:abstractNumId w:val="18"/>
  </w:num>
  <w:num w:numId="9">
    <w:abstractNumId w:val="11"/>
  </w:num>
  <w:num w:numId="10">
    <w:abstractNumId w:val="2"/>
  </w:num>
  <w:num w:numId="11">
    <w:abstractNumId w:val="23"/>
  </w:num>
  <w:num w:numId="12">
    <w:abstractNumId w:val="8"/>
  </w:num>
  <w:num w:numId="13">
    <w:abstractNumId w:val="17"/>
  </w:num>
  <w:num w:numId="14">
    <w:abstractNumId w:val="0"/>
  </w:num>
  <w:num w:numId="15">
    <w:abstractNumId w:val="1"/>
  </w:num>
  <w:num w:numId="16">
    <w:abstractNumId w:val="13"/>
  </w:num>
  <w:num w:numId="17">
    <w:abstractNumId w:val="20"/>
  </w:num>
  <w:num w:numId="18">
    <w:abstractNumId w:val="15"/>
  </w:num>
  <w:num w:numId="19">
    <w:abstractNumId w:val="4"/>
  </w:num>
  <w:num w:numId="20">
    <w:abstractNumId w:val="7"/>
  </w:num>
  <w:num w:numId="21">
    <w:abstractNumId w:val="6"/>
  </w:num>
  <w:num w:numId="22">
    <w:abstractNumId w:val="22"/>
  </w:num>
  <w:num w:numId="23">
    <w:abstractNumId w:val="14"/>
  </w:num>
  <w:num w:numId="24">
    <w:abstractNumId w:val="9"/>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GzMLIwMzQzNzcxsLBQ0lEKTi0uzszPAykwsqgFAEL2YSwtAAAA"/>
  </w:docVars>
  <w:rsids>
    <w:rsidRoot w:val="00C75D89"/>
    <w:rsid w:val="00001571"/>
    <w:rsid w:val="000029A9"/>
    <w:rsid w:val="00002BD1"/>
    <w:rsid w:val="000046F4"/>
    <w:rsid w:val="00005D98"/>
    <w:rsid w:val="000061D3"/>
    <w:rsid w:val="000163F8"/>
    <w:rsid w:val="00017305"/>
    <w:rsid w:val="00020E8C"/>
    <w:rsid w:val="00021FC7"/>
    <w:rsid w:val="000233EE"/>
    <w:rsid w:val="000265DF"/>
    <w:rsid w:val="00027B4A"/>
    <w:rsid w:val="00036FE0"/>
    <w:rsid w:val="00037348"/>
    <w:rsid w:val="00043456"/>
    <w:rsid w:val="000465E6"/>
    <w:rsid w:val="00046EE2"/>
    <w:rsid w:val="00050490"/>
    <w:rsid w:val="00050AC9"/>
    <w:rsid w:val="00052415"/>
    <w:rsid w:val="00053DDC"/>
    <w:rsid w:val="00053FD6"/>
    <w:rsid w:val="000543E8"/>
    <w:rsid w:val="0005525E"/>
    <w:rsid w:val="000555CA"/>
    <w:rsid w:val="00057E1C"/>
    <w:rsid w:val="000649E9"/>
    <w:rsid w:val="00070C2B"/>
    <w:rsid w:val="000746C7"/>
    <w:rsid w:val="00074AE3"/>
    <w:rsid w:val="00074F77"/>
    <w:rsid w:val="000874A4"/>
    <w:rsid w:val="00090664"/>
    <w:rsid w:val="00095073"/>
    <w:rsid w:val="00095F53"/>
    <w:rsid w:val="000961DD"/>
    <w:rsid w:val="00096A87"/>
    <w:rsid w:val="00096B31"/>
    <w:rsid w:val="000A0B9E"/>
    <w:rsid w:val="000A4902"/>
    <w:rsid w:val="000B137C"/>
    <w:rsid w:val="000B2F97"/>
    <w:rsid w:val="000B3C00"/>
    <w:rsid w:val="000B6FBE"/>
    <w:rsid w:val="000C02B7"/>
    <w:rsid w:val="000C164B"/>
    <w:rsid w:val="000C390E"/>
    <w:rsid w:val="000C7361"/>
    <w:rsid w:val="000D0842"/>
    <w:rsid w:val="000D5050"/>
    <w:rsid w:val="000D5213"/>
    <w:rsid w:val="000D5758"/>
    <w:rsid w:val="000D57D4"/>
    <w:rsid w:val="000D5AD5"/>
    <w:rsid w:val="000D63E1"/>
    <w:rsid w:val="000F0200"/>
    <w:rsid w:val="000F2AD1"/>
    <w:rsid w:val="000F6FE2"/>
    <w:rsid w:val="000F7289"/>
    <w:rsid w:val="000F7688"/>
    <w:rsid w:val="00101C3D"/>
    <w:rsid w:val="001058DE"/>
    <w:rsid w:val="00107151"/>
    <w:rsid w:val="0011095F"/>
    <w:rsid w:val="00114F07"/>
    <w:rsid w:val="001239AD"/>
    <w:rsid w:val="001306D6"/>
    <w:rsid w:val="001310C8"/>
    <w:rsid w:val="00132676"/>
    <w:rsid w:val="001329F2"/>
    <w:rsid w:val="001332F7"/>
    <w:rsid w:val="00135384"/>
    <w:rsid w:val="001359E2"/>
    <w:rsid w:val="00137B4B"/>
    <w:rsid w:val="00140DDE"/>
    <w:rsid w:val="00141680"/>
    <w:rsid w:val="00141FB2"/>
    <w:rsid w:val="00145F90"/>
    <w:rsid w:val="0015049F"/>
    <w:rsid w:val="001533D0"/>
    <w:rsid w:val="00153D64"/>
    <w:rsid w:val="001542A4"/>
    <w:rsid w:val="001547EE"/>
    <w:rsid w:val="0015612A"/>
    <w:rsid w:val="001568B0"/>
    <w:rsid w:val="00156F00"/>
    <w:rsid w:val="00171F14"/>
    <w:rsid w:val="00173060"/>
    <w:rsid w:val="00173763"/>
    <w:rsid w:val="0017519E"/>
    <w:rsid w:val="001803C9"/>
    <w:rsid w:val="001821F0"/>
    <w:rsid w:val="00182958"/>
    <w:rsid w:val="00186EF0"/>
    <w:rsid w:val="001908F7"/>
    <w:rsid w:val="001913D1"/>
    <w:rsid w:val="00191FF6"/>
    <w:rsid w:val="001933E0"/>
    <w:rsid w:val="0019368D"/>
    <w:rsid w:val="0019393E"/>
    <w:rsid w:val="001975C6"/>
    <w:rsid w:val="001A25C3"/>
    <w:rsid w:val="001A2E55"/>
    <w:rsid w:val="001A3F84"/>
    <w:rsid w:val="001B43B6"/>
    <w:rsid w:val="001B4550"/>
    <w:rsid w:val="001B6FB0"/>
    <w:rsid w:val="001C5D56"/>
    <w:rsid w:val="001C7BA7"/>
    <w:rsid w:val="001D2507"/>
    <w:rsid w:val="001D4AA8"/>
    <w:rsid w:val="001E04E7"/>
    <w:rsid w:val="001E37A1"/>
    <w:rsid w:val="001E64DF"/>
    <w:rsid w:val="001E7B95"/>
    <w:rsid w:val="001F24F7"/>
    <w:rsid w:val="001F2C38"/>
    <w:rsid w:val="001F5BC0"/>
    <w:rsid w:val="0020697B"/>
    <w:rsid w:val="00207824"/>
    <w:rsid w:val="00215D0C"/>
    <w:rsid w:val="0021690A"/>
    <w:rsid w:val="00217A9D"/>
    <w:rsid w:val="00220041"/>
    <w:rsid w:val="0022217E"/>
    <w:rsid w:val="00223CE5"/>
    <w:rsid w:val="002242B8"/>
    <w:rsid w:val="0022604A"/>
    <w:rsid w:val="00227918"/>
    <w:rsid w:val="0023518B"/>
    <w:rsid w:val="002439E9"/>
    <w:rsid w:val="00243D3E"/>
    <w:rsid w:val="002443D5"/>
    <w:rsid w:val="00245A80"/>
    <w:rsid w:val="002576E4"/>
    <w:rsid w:val="00257BD3"/>
    <w:rsid w:val="00261553"/>
    <w:rsid w:val="0026444A"/>
    <w:rsid w:val="00266E54"/>
    <w:rsid w:val="00271A26"/>
    <w:rsid w:val="002720E4"/>
    <w:rsid w:val="00274A0A"/>
    <w:rsid w:val="0027537E"/>
    <w:rsid w:val="0027772D"/>
    <w:rsid w:val="00280DF5"/>
    <w:rsid w:val="00281776"/>
    <w:rsid w:val="00286733"/>
    <w:rsid w:val="00291301"/>
    <w:rsid w:val="002A0F1E"/>
    <w:rsid w:val="002A6646"/>
    <w:rsid w:val="002A7D18"/>
    <w:rsid w:val="002A7EED"/>
    <w:rsid w:val="002B02BD"/>
    <w:rsid w:val="002B2122"/>
    <w:rsid w:val="002B4626"/>
    <w:rsid w:val="002C571E"/>
    <w:rsid w:val="002D1D5F"/>
    <w:rsid w:val="002D2509"/>
    <w:rsid w:val="002D303D"/>
    <w:rsid w:val="002D440B"/>
    <w:rsid w:val="002D7BAC"/>
    <w:rsid w:val="002E1733"/>
    <w:rsid w:val="002E349E"/>
    <w:rsid w:val="002E53D0"/>
    <w:rsid w:val="002F3DB6"/>
    <w:rsid w:val="00310DF3"/>
    <w:rsid w:val="0031123C"/>
    <w:rsid w:val="0031292F"/>
    <w:rsid w:val="00313B10"/>
    <w:rsid w:val="00320760"/>
    <w:rsid w:val="00332333"/>
    <w:rsid w:val="00332B72"/>
    <w:rsid w:val="003346A1"/>
    <w:rsid w:val="00334975"/>
    <w:rsid w:val="00334C85"/>
    <w:rsid w:val="00335E7C"/>
    <w:rsid w:val="00337F80"/>
    <w:rsid w:val="0034134B"/>
    <w:rsid w:val="00345B34"/>
    <w:rsid w:val="00347B9A"/>
    <w:rsid w:val="00352B16"/>
    <w:rsid w:val="00352BCE"/>
    <w:rsid w:val="00355F8C"/>
    <w:rsid w:val="003573F6"/>
    <w:rsid w:val="003601BD"/>
    <w:rsid w:val="0036165E"/>
    <w:rsid w:val="0036328C"/>
    <w:rsid w:val="00363701"/>
    <w:rsid w:val="003639FF"/>
    <w:rsid w:val="00364F43"/>
    <w:rsid w:val="0037227E"/>
    <w:rsid w:val="00374950"/>
    <w:rsid w:val="00375009"/>
    <w:rsid w:val="00380DE1"/>
    <w:rsid w:val="00385281"/>
    <w:rsid w:val="0038663C"/>
    <w:rsid w:val="0039190D"/>
    <w:rsid w:val="00395C3C"/>
    <w:rsid w:val="0039619A"/>
    <w:rsid w:val="003A10BB"/>
    <w:rsid w:val="003A23FA"/>
    <w:rsid w:val="003A2F4C"/>
    <w:rsid w:val="003A39A8"/>
    <w:rsid w:val="003A42FF"/>
    <w:rsid w:val="003A4F5C"/>
    <w:rsid w:val="003B1017"/>
    <w:rsid w:val="003B2308"/>
    <w:rsid w:val="003B5497"/>
    <w:rsid w:val="003C0413"/>
    <w:rsid w:val="003C0C52"/>
    <w:rsid w:val="003C1DB7"/>
    <w:rsid w:val="003C5AD7"/>
    <w:rsid w:val="003C715E"/>
    <w:rsid w:val="003C7D87"/>
    <w:rsid w:val="003D01F3"/>
    <w:rsid w:val="003D0CF8"/>
    <w:rsid w:val="003D266C"/>
    <w:rsid w:val="003D5B90"/>
    <w:rsid w:val="003D766C"/>
    <w:rsid w:val="003E0B7B"/>
    <w:rsid w:val="003E5E61"/>
    <w:rsid w:val="003E73F0"/>
    <w:rsid w:val="003F1D62"/>
    <w:rsid w:val="003F5250"/>
    <w:rsid w:val="003F7BCE"/>
    <w:rsid w:val="00400088"/>
    <w:rsid w:val="00401643"/>
    <w:rsid w:val="00401D97"/>
    <w:rsid w:val="00410687"/>
    <w:rsid w:val="00415EAA"/>
    <w:rsid w:val="0041623D"/>
    <w:rsid w:val="00420695"/>
    <w:rsid w:val="004206A4"/>
    <w:rsid w:val="0042520C"/>
    <w:rsid w:val="00430ABD"/>
    <w:rsid w:val="00432747"/>
    <w:rsid w:val="00434933"/>
    <w:rsid w:val="00436352"/>
    <w:rsid w:val="0044003F"/>
    <w:rsid w:val="00443050"/>
    <w:rsid w:val="004448AA"/>
    <w:rsid w:val="00447787"/>
    <w:rsid w:val="004505B9"/>
    <w:rsid w:val="00451073"/>
    <w:rsid w:val="00451132"/>
    <w:rsid w:val="0045143D"/>
    <w:rsid w:val="004524F6"/>
    <w:rsid w:val="00453DA4"/>
    <w:rsid w:val="004543D4"/>
    <w:rsid w:val="00456C73"/>
    <w:rsid w:val="0046052B"/>
    <w:rsid w:val="00460D40"/>
    <w:rsid w:val="00461791"/>
    <w:rsid w:val="00464432"/>
    <w:rsid w:val="00464437"/>
    <w:rsid w:val="00471D41"/>
    <w:rsid w:val="004746B4"/>
    <w:rsid w:val="00474BD6"/>
    <w:rsid w:val="00477B74"/>
    <w:rsid w:val="00481043"/>
    <w:rsid w:val="00483165"/>
    <w:rsid w:val="00494430"/>
    <w:rsid w:val="004A1842"/>
    <w:rsid w:val="004A58FA"/>
    <w:rsid w:val="004B1775"/>
    <w:rsid w:val="004B2618"/>
    <w:rsid w:val="004B5802"/>
    <w:rsid w:val="004B5C13"/>
    <w:rsid w:val="004C10B7"/>
    <w:rsid w:val="004C223F"/>
    <w:rsid w:val="004C24F2"/>
    <w:rsid w:val="004C77BA"/>
    <w:rsid w:val="004C7CEE"/>
    <w:rsid w:val="004D0B53"/>
    <w:rsid w:val="004D16DA"/>
    <w:rsid w:val="004D6BC3"/>
    <w:rsid w:val="004D7BE8"/>
    <w:rsid w:val="004E6E17"/>
    <w:rsid w:val="004F1B98"/>
    <w:rsid w:val="004F339B"/>
    <w:rsid w:val="004F4D6C"/>
    <w:rsid w:val="004F53E3"/>
    <w:rsid w:val="004F564E"/>
    <w:rsid w:val="00503125"/>
    <w:rsid w:val="0050411A"/>
    <w:rsid w:val="005058BB"/>
    <w:rsid w:val="0050790D"/>
    <w:rsid w:val="00507B9F"/>
    <w:rsid w:val="005137F3"/>
    <w:rsid w:val="00516262"/>
    <w:rsid w:val="00516991"/>
    <w:rsid w:val="0051729D"/>
    <w:rsid w:val="00523175"/>
    <w:rsid w:val="005257E4"/>
    <w:rsid w:val="00527230"/>
    <w:rsid w:val="0053424D"/>
    <w:rsid w:val="0053664A"/>
    <w:rsid w:val="005366CD"/>
    <w:rsid w:val="00537A16"/>
    <w:rsid w:val="0054113A"/>
    <w:rsid w:val="00545709"/>
    <w:rsid w:val="00551007"/>
    <w:rsid w:val="00552BD5"/>
    <w:rsid w:val="00552DAD"/>
    <w:rsid w:val="00555905"/>
    <w:rsid w:val="00556DA5"/>
    <w:rsid w:val="00561837"/>
    <w:rsid w:val="0056251C"/>
    <w:rsid w:val="00562762"/>
    <w:rsid w:val="00562C10"/>
    <w:rsid w:val="005633D0"/>
    <w:rsid w:val="00565ED9"/>
    <w:rsid w:val="00567F58"/>
    <w:rsid w:val="00575096"/>
    <w:rsid w:val="0057701F"/>
    <w:rsid w:val="005817D5"/>
    <w:rsid w:val="005833C4"/>
    <w:rsid w:val="00585495"/>
    <w:rsid w:val="00593B47"/>
    <w:rsid w:val="005954BE"/>
    <w:rsid w:val="00596F5C"/>
    <w:rsid w:val="00597856"/>
    <w:rsid w:val="005A013B"/>
    <w:rsid w:val="005A0B18"/>
    <w:rsid w:val="005A20C3"/>
    <w:rsid w:val="005A3422"/>
    <w:rsid w:val="005A4D02"/>
    <w:rsid w:val="005A555D"/>
    <w:rsid w:val="005A7786"/>
    <w:rsid w:val="005B2C89"/>
    <w:rsid w:val="005B2E4E"/>
    <w:rsid w:val="005B374D"/>
    <w:rsid w:val="005B3C0C"/>
    <w:rsid w:val="005B3E99"/>
    <w:rsid w:val="005B4F30"/>
    <w:rsid w:val="005C6262"/>
    <w:rsid w:val="005D1577"/>
    <w:rsid w:val="005D1D63"/>
    <w:rsid w:val="005D22FF"/>
    <w:rsid w:val="005D4696"/>
    <w:rsid w:val="005D46D3"/>
    <w:rsid w:val="005D72C9"/>
    <w:rsid w:val="005E3DCE"/>
    <w:rsid w:val="00601C93"/>
    <w:rsid w:val="0061065B"/>
    <w:rsid w:val="00613AC8"/>
    <w:rsid w:val="00620431"/>
    <w:rsid w:val="006223B7"/>
    <w:rsid w:val="006230C7"/>
    <w:rsid w:val="00624DD9"/>
    <w:rsid w:val="0062569B"/>
    <w:rsid w:val="00626B8B"/>
    <w:rsid w:val="00626C88"/>
    <w:rsid w:val="006270ED"/>
    <w:rsid w:val="00632440"/>
    <w:rsid w:val="00633422"/>
    <w:rsid w:val="0063567E"/>
    <w:rsid w:val="00640252"/>
    <w:rsid w:val="00641573"/>
    <w:rsid w:val="0064557D"/>
    <w:rsid w:val="00645A1C"/>
    <w:rsid w:val="00646EE7"/>
    <w:rsid w:val="0065396F"/>
    <w:rsid w:val="0066101A"/>
    <w:rsid w:val="00664A13"/>
    <w:rsid w:val="00664A60"/>
    <w:rsid w:val="00672392"/>
    <w:rsid w:val="00676250"/>
    <w:rsid w:val="00677EB0"/>
    <w:rsid w:val="0068041C"/>
    <w:rsid w:val="00683F07"/>
    <w:rsid w:val="00684E18"/>
    <w:rsid w:val="00685587"/>
    <w:rsid w:val="00685A81"/>
    <w:rsid w:val="006932E3"/>
    <w:rsid w:val="00693DCB"/>
    <w:rsid w:val="0069404D"/>
    <w:rsid w:val="00696FC8"/>
    <w:rsid w:val="00697AB1"/>
    <w:rsid w:val="006A4837"/>
    <w:rsid w:val="006A4D3C"/>
    <w:rsid w:val="006A6FF2"/>
    <w:rsid w:val="006A7934"/>
    <w:rsid w:val="006A7B38"/>
    <w:rsid w:val="006B03C6"/>
    <w:rsid w:val="006B0E0D"/>
    <w:rsid w:val="006B4FB8"/>
    <w:rsid w:val="006B5D41"/>
    <w:rsid w:val="006B7792"/>
    <w:rsid w:val="006C4ED1"/>
    <w:rsid w:val="006C6637"/>
    <w:rsid w:val="006D12A5"/>
    <w:rsid w:val="006D12FD"/>
    <w:rsid w:val="006D26B2"/>
    <w:rsid w:val="006D6E62"/>
    <w:rsid w:val="006D75DC"/>
    <w:rsid w:val="006D7AE5"/>
    <w:rsid w:val="006E1DC2"/>
    <w:rsid w:val="006E2F8D"/>
    <w:rsid w:val="006E47B5"/>
    <w:rsid w:val="006E5198"/>
    <w:rsid w:val="006F679E"/>
    <w:rsid w:val="00700421"/>
    <w:rsid w:val="00700E27"/>
    <w:rsid w:val="0070157B"/>
    <w:rsid w:val="0070288A"/>
    <w:rsid w:val="007028D0"/>
    <w:rsid w:val="00704EF0"/>
    <w:rsid w:val="007073E4"/>
    <w:rsid w:val="00711551"/>
    <w:rsid w:val="00711A88"/>
    <w:rsid w:val="00711B37"/>
    <w:rsid w:val="007130B8"/>
    <w:rsid w:val="00713F10"/>
    <w:rsid w:val="00713F3D"/>
    <w:rsid w:val="00715E46"/>
    <w:rsid w:val="00716876"/>
    <w:rsid w:val="0072272B"/>
    <w:rsid w:val="00723F21"/>
    <w:rsid w:val="007247E0"/>
    <w:rsid w:val="007300B0"/>
    <w:rsid w:val="00736AAF"/>
    <w:rsid w:val="00740383"/>
    <w:rsid w:val="00743DD7"/>
    <w:rsid w:val="007440F6"/>
    <w:rsid w:val="00746F07"/>
    <w:rsid w:val="007511FA"/>
    <w:rsid w:val="00754902"/>
    <w:rsid w:val="007559EA"/>
    <w:rsid w:val="00763320"/>
    <w:rsid w:val="007655A8"/>
    <w:rsid w:val="00766C47"/>
    <w:rsid w:val="00771661"/>
    <w:rsid w:val="007719B3"/>
    <w:rsid w:val="007754CC"/>
    <w:rsid w:val="00782F11"/>
    <w:rsid w:val="00790900"/>
    <w:rsid w:val="00790D5C"/>
    <w:rsid w:val="007932FC"/>
    <w:rsid w:val="007939B5"/>
    <w:rsid w:val="007A32EB"/>
    <w:rsid w:val="007A634B"/>
    <w:rsid w:val="007B0B3D"/>
    <w:rsid w:val="007B25D7"/>
    <w:rsid w:val="007B2DA2"/>
    <w:rsid w:val="007B2F9A"/>
    <w:rsid w:val="007B41F4"/>
    <w:rsid w:val="007B7367"/>
    <w:rsid w:val="007C2929"/>
    <w:rsid w:val="007C3533"/>
    <w:rsid w:val="007C54D2"/>
    <w:rsid w:val="007C5CE6"/>
    <w:rsid w:val="007C65C1"/>
    <w:rsid w:val="007D05B7"/>
    <w:rsid w:val="007D0755"/>
    <w:rsid w:val="007D2484"/>
    <w:rsid w:val="007D40BA"/>
    <w:rsid w:val="007D437F"/>
    <w:rsid w:val="007D66EF"/>
    <w:rsid w:val="007E3F8F"/>
    <w:rsid w:val="007E5421"/>
    <w:rsid w:val="007F2EC4"/>
    <w:rsid w:val="007F2EF2"/>
    <w:rsid w:val="008026E3"/>
    <w:rsid w:val="00805B91"/>
    <w:rsid w:val="008069AC"/>
    <w:rsid w:val="00815C1B"/>
    <w:rsid w:val="00827D48"/>
    <w:rsid w:val="00832F78"/>
    <w:rsid w:val="00833CFB"/>
    <w:rsid w:val="0083525B"/>
    <w:rsid w:val="0083599D"/>
    <w:rsid w:val="0084131B"/>
    <w:rsid w:val="00841DFC"/>
    <w:rsid w:val="008423F9"/>
    <w:rsid w:val="008503B6"/>
    <w:rsid w:val="00856120"/>
    <w:rsid w:val="00856360"/>
    <w:rsid w:val="008638A3"/>
    <w:rsid w:val="00863C75"/>
    <w:rsid w:val="00863CD0"/>
    <w:rsid w:val="00865083"/>
    <w:rsid w:val="0086657B"/>
    <w:rsid w:val="00870ABA"/>
    <w:rsid w:val="00872A48"/>
    <w:rsid w:val="0087730F"/>
    <w:rsid w:val="0088203E"/>
    <w:rsid w:val="00882F05"/>
    <w:rsid w:val="008950E7"/>
    <w:rsid w:val="00895E3D"/>
    <w:rsid w:val="008A10FF"/>
    <w:rsid w:val="008A2356"/>
    <w:rsid w:val="008A4371"/>
    <w:rsid w:val="008B0CB1"/>
    <w:rsid w:val="008B55DB"/>
    <w:rsid w:val="008B641A"/>
    <w:rsid w:val="008B6BDE"/>
    <w:rsid w:val="008C1B56"/>
    <w:rsid w:val="008C4485"/>
    <w:rsid w:val="008C7AE5"/>
    <w:rsid w:val="008D2622"/>
    <w:rsid w:val="008D2EDF"/>
    <w:rsid w:val="008D4EA9"/>
    <w:rsid w:val="008D5BA7"/>
    <w:rsid w:val="008D6AED"/>
    <w:rsid w:val="008E0672"/>
    <w:rsid w:val="008E24A7"/>
    <w:rsid w:val="008E6EA4"/>
    <w:rsid w:val="008E6F31"/>
    <w:rsid w:val="008E77EA"/>
    <w:rsid w:val="008F0DF6"/>
    <w:rsid w:val="008F1894"/>
    <w:rsid w:val="008F4451"/>
    <w:rsid w:val="008F4C4A"/>
    <w:rsid w:val="008F5AC8"/>
    <w:rsid w:val="00901790"/>
    <w:rsid w:val="00901BD0"/>
    <w:rsid w:val="00903550"/>
    <w:rsid w:val="0090462C"/>
    <w:rsid w:val="00911891"/>
    <w:rsid w:val="00912C5D"/>
    <w:rsid w:val="00912CB4"/>
    <w:rsid w:val="009144DC"/>
    <w:rsid w:val="00923197"/>
    <w:rsid w:val="00924899"/>
    <w:rsid w:val="00925876"/>
    <w:rsid w:val="009258E1"/>
    <w:rsid w:val="00925DAE"/>
    <w:rsid w:val="00930279"/>
    <w:rsid w:val="009304D2"/>
    <w:rsid w:val="00930619"/>
    <w:rsid w:val="0093329C"/>
    <w:rsid w:val="00943C0B"/>
    <w:rsid w:val="00945901"/>
    <w:rsid w:val="00947832"/>
    <w:rsid w:val="00960F09"/>
    <w:rsid w:val="00963EE2"/>
    <w:rsid w:val="009648EA"/>
    <w:rsid w:val="00966FC3"/>
    <w:rsid w:val="009676E6"/>
    <w:rsid w:val="00973709"/>
    <w:rsid w:val="00973BAB"/>
    <w:rsid w:val="00973DD7"/>
    <w:rsid w:val="00981387"/>
    <w:rsid w:val="00982A60"/>
    <w:rsid w:val="009848D0"/>
    <w:rsid w:val="009915C2"/>
    <w:rsid w:val="00996EFA"/>
    <w:rsid w:val="009A4AE3"/>
    <w:rsid w:val="009A5CEC"/>
    <w:rsid w:val="009B4A09"/>
    <w:rsid w:val="009B4EE2"/>
    <w:rsid w:val="009B5978"/>
    <w:rsid w:val="009B5DD8"/>
    <w:rsid w:val="009C0183"/>
    <w:rsid w:val="009C171E"/>
    <w:rsid w:val="009C5319"/>
    <w:rsid w:val="009C5A54"/>
    <w:rsid w:val="009C7212"/>
    <w:rsid w:val="009D1619"/>
    <w:rsid w:val="009D7706"/>
    <w:rsid w:val="009E00DD"/>
    <w:rsid w:val="009E0D08"/>
    <w:rsid w:val="009E1E86"/>
    <w:rsid w:val="009E2185"/>
    <w:rsid w:val="009F2BC1"/>
    <w:rsid w:val="009F2D23"/>
    <w:rsid w:val="009F3E0A"/>
    <w:rsid w:val="009F4F42"/>
    <w:rsid w:val="009F5A92"/>
    <w:rsid w:val="009F6AF1"/>
    <w:rsid w:val="00A01869"/>
    <w:rsid w:val="00A03A8F"/>
    <w:rsid w:val="00A05972"/>
    <w:rsid w:val="00A1153D"/>
    <w:rsid w:val="00A1251E"/>
    <w:rsid w:val="00A14721"/>
    <w:rsid w:val="00A15882"/>
    <w:rsid w:val="00A2655E"/>
    <w:rsid w:val="00A30A5B"/>
    <w:rsid w:val="00A42E84"/>
    <w:rsid w:val="00A47B2F"/>
    <w:rsid w:val="00A51E5A"/>
    <w:rsid w:val="00A52F9B"/>
    <w:rsid w:val="00A53830"/>
    <w:rsid w:val="00A54305"/>
    <w:rsid w:val="00A54711"/>
    <w:rsid w:val="00A5656D"/>
    <w:rsid w:val="00A57932"/>
    <w:rsid w:val="00A57F76"/>
    <w:rsid w:val="00A6476B"/>
    <w:rsid w:val="00A64FF7"/>
    <w:rsid w:val="00A6680F"/>
    <w:rsid w:val="00A67366"/>
    <w:rsid w:val="00A71059"/>
    <w:rsid w:val="00A731F3"/>
    <w:rsid w:val="00A73E6E"/>
    <w:rsid w:val="00A73EB1"/>
    <w:rsid w:val="00A80E76"/>
    <w:rsid w:val="00A81BDC"/>
    <w:rsid w:val="00A8332A"/>
    <w:rsid w:val="00A87672"/>
    <w:rsid w:val="00A9132A"/>
    <w:rsid w:val="00A914F3"/>
    <w:rsid w:val="00A91E12"/>
    <w:rsid w:val="00AA214E"/>
    <w:rsid w:val="00AA36ED"/>
    <w:rsid w:val="00AA5CB8"/>
    <w:rsid w:val="00AA5FE6"/>
    <w:rsid w:val="00AB3310"/>
    <w:rsid w:val="00AB5457"/>
    <w:rsid w:val="00AC0660"/>
    <w:rsid w:val="00AC08A6"/>
    <w:rsid w:val="00AC4431"/>
    <w:rsid w:val="00AC4994"/>
    <w:rsid w:val="00AC621F"/>
    <w:rsid w:val="00AD0226"/>
    <w:rsid w:val="00AD1BD3"/>
    <w:rsid w:val="00AD351B"/>
    <w:rsid w:val="00AD5D9A"/>
    <w:rsid w:val="00AE208C"/>
    <w:rsid w:val="00AE5B19"/>
    <w:rsid w:val="00AE614E"/>
    <w:rsid w:val="00AF5BB2"/>
    <w:rsid w:val="00AF6886"/>
    <w:rsid w:val="00B032B0"/>
    <w:rsid w:val="00B04058"/>
    <w:rsid w:val="00B10497"/>
    <w:rsid w:val="00B112CB"/>
    <w:rsid w:val="00B21F67"/>
    <w:rsid w:val="00B229ED"/>
    <w:rsid w:val="00B25834"/>
    <w:rsid w:val="00B26CF2"/>
    <w:rsid w:val="00B35615"/>
    <w:rsid w:val="00B40A11"/>
    <w:rsid w:val="00B41478"/>
    <w:rsid w:val="00B41A05"/>
    <w:rsid w:val="00B43879"/>
    <w:rsid w:val="00B52D0C"/>
    <w:rsid w:val="00B55068"/>
    <w:rsid w:val="00B60CCC"/>
    <w:rsid w:val="00B62BC1"/>
    <w:rsid w:val="00B62D96"/>
    <w:rsid w:val="00B75374"/>
    <w:rsid w:val="00B87025"/>
    <w:rsid w:val="00B912C0"/>
    <w:rsid w:val="00B97A99"/>
    <w:rsid w:val="00BA0024"/>
    <w:rsid w:val="00BA2863"/>
    <w:rsid w:val="00BA2F89"/>
    <w:rsid w:val="00BB1162"/>
    <w:rsid w:val="00BB5C80"/>
    <w:rsid w:val="00BC0633"/>
    <w:rsid w:val="00BC0837"/>
    <w:rsid w:val="00BC37BF"/>
    <w:rsid w:val="00BC38D4"/>
    <w:rsid w:val="00BC531B"/>
    <w:rsid w:val="00BC788F"/>
    <w:rsid w:val="00BE605B"/>
    <w:rsid w:val="00BE6FC7"/>
    <w:rsid w:val="00BF1AF1"/>
    <w:rsid w:val="00BF56B9"/>
    <w:rsid w:val="00BF5E2E"/>
    <w:rsid w:val="00C01B91"/>
    <w:rsid w:val="00C02BBF"/>
    <w:rsid w:val="00C02D5F"/>
    <w:rsid w:val="00C15AE7"/>
    <w:rsid w:val="00C27CF3"/>
    <w:rsid w:val="00C27E41"/>
    <w:rsid w:val="00C308EE"/>
    <w:rsid w:val="00C35A11"/>
    <w:rsid w:val="00C3766D"/>
    <w:rsid w:val="00C41152"/>
    <w:rsid w:val="00C45CF7"/>
    <w:rsid w:val="00C50407"/>
    <w:rsid w:val="00C5059B"/>
    <w:rsid w:val="00C51F2D"/>
    <w:rsid w:val="00C55469"/>
    <w:rsid w:val="00C557DD"/>
    <w:rsid w:val="00C60C3B"/>
    <w:rsid w:val="00C63A28"/>
    <w:rsid w:val="00C706A7"/>
    <w:rsid w:val="00C71409"/>
    <w:rsid w:val="00C75D89"/>
    <w:rsid w:val="00C8129E"/>
    <w:rsid w:val="00C832A7"/>
    <w:rsid w:val="00C83ECF"/>
    <w:rsid w:val="00C8471D"/>
    <w:rsid w:val="00C8558F"/>
    <w:rsid w:val="00C85AFA"/>
    <w:rsid w:val="00C85CCF"/>
    <w:rsid w:val="00C8646B"/>
    <w:rsid w:val="00C86B39"/>
    <w:rsid w:val="00C86EF3"/>
    <w:rsid w:val="00C908FC"/>
    <w:rsid w:val="00C92F7C"/>
    <w:rsid w:val="00CA289F"/>
    <w:rsid w:val="00CA53A2"/>
    <w:rsid w:val="00CA67E6"/>
    <w:rsid w:val="00CA6EF1"/>
    <w:rsid w:val="00CB1195"/>
    <w:rsid w:val="00CB36D4"/>
    <w:rsid w:val="00CB4F37"/>
    <w:rsid w:val="00CB505C"/>
    <w:rsid w:val="00CC5773"/>
    <w:rsid w:val="00CC6083"/>
    <w:rsid w:val="00CC7F41"/>
    <w:rsid w:val="00CD142B"/>
    <w:rsid w:val="00CD3EF7"/>
    <w:rsid w:val="00CD6EC6"/>
    <w:rsid w:val="00CE07DE"/>
    <w:rsid w:val="00CF217D"/>
    <w:rsid w:val="00CF4974"/>
    <w:rsid w:val="00CF4D30"/>
    <w:rsid w:val="00CF7622"/>
    <w:rsid w:val="00D002B5"/>
    <w:rsid w:val="00D00E97"/>
    <w:rsid w:val="00D035AA"/>
    <w:rsid w:val="00D06D7B"/>
    <w:rsid w:val="00D11E20"/>
    <w:rsid w:val="00D1310B"/>
    <w:rsid w:val="00D13DBE"/>
    <w:rsid w:val="00D15470"/>
    <w:rsid w:val="00D1552A"/>
    <w:rsid w:val="00D161D5"/>
    <w:rsid w:val="00D16566"/>
    <w:rsid w:val="00D16E9A"/>
    <w:rsid w:val="00D218B8"/>
    <w:rsid w:val="00D23FB3"/>
    <w:rsid w:val="00D248A8"/>
    <w:rsid w:val="00D2508B"/>
    <w:rsid w:val="00D25965"/>
    <w:rsid w:val="00D26247"/>
    <w:rsid w:val="00D277E1"/>
    <w:rsid w:val="00D27C2E"/>
    <w:rsid w:val="00D37854"/>
    <w:rsid w:val="00D45B4C"/>
    <w:rsid w:val="00D46451"/>
    <w:rsid w:val="00D51795"/>
    <w:rsid w:val="00D517DF"/>
    <w:rsid w:val="00D54672"/>
    <w:rsid w:val="00D6228B"/>
    <w:rsid w:val="00D64B64"/>
    <w:rsid w:val="00D74032"/>
    <w:rsid w:val="00D74055"/>
    <w:rsid w:val="00D77D55"/>
    <w:rsid w:val="00D842E4"/>
    <w:rsid w:val="00D8768B"/>
    <w:rsid w:val="00D91440"/>
    <w:rsid w:val="00D925FC"/>
    <w:rsid w:val="00DA4FCD"/>
    <w:rsid w:val="00DB03D3"/>
    <w:rsid w:val="00DB1571"/>
    <w:rsid w:val="00DB4BDF"/>
    <w:rsid w:val="00DB6FD1"/>
    <w:rsid w:val="00DC539C"/>
    <w:rsid w:val="00DC705A"/>
    <w:rsid w:val="00DD2201"/>
    <w:rsid w:val="00DD23A5"/>
    <w:rsid w:val="00DD25E0"/>
    <w:rsid w:val="00DD4C4C"/>
    <w:rsid w:val="00DD6656"/>
    <w:rsid w:val="00DD774D"/>
    <w:rsid w:val="00DE4CEA"/>
    <w:rsid w:val="00DF2001"/>
    <w:rsid w:val="00DF2B5D"/>
    <w:rsid w:val="00DF4516"/>
    <w:rsid w:val="00DF4E45"/>
    <w:rsid w:val="00E0255A"/>
    <w:rsid w:val="00E04186"/>
    <w:rsid w:val="00E051A6"/>
    <w:rsid w:val="00E05EC4"/>
    <w:rsid w:val="00E05F35"/>
    <w:rsid w:val="00E064DF"/>
    <w:rsid w:val="00E10086"/>
    <w:rsid w:val="00E10B5D"/>
    <w:rsid w:val="00E1384F"/>
    <w:rsid w:val="00E1691E"/>
    <w:rsid w:val="00E22A3D"/>
    <w:rsid w:val="00E23654"/>
    <w:rsid w:val="00E32621"/>
    <w:rsid w:val="00E349E3"/>
    <w:rsid w:val="00E35D96"/>
    <w:rsid w:val="00E4136D"/>
    <w:rsid w:val="00E430AB"/>
    <w:rsid w:val="00E431F4"/>
    <w:rsid w:val="00E439A7"/>
    <w:rsid w:val="00E45504"/>
    <w:rsid w:val="00E46BF2"/>
    <w:rsid w:val="00E46CC2"/>
    <w:rsid w:val="00E5000C"/>
    <w:rsid w:val="00E532A6"/>
    <w:rsid w:val="00E56121"/>
    <w:rsid w:val="00E60717"/>
    <w:rsid w:val="00E612B9"/>
    <w:rsid w:val="00E65BA6"/>
    <w:rsid w:val="00E65F66"/>
    <w:rsid w:val="00E74A45"/>
    <w:rsid w:val="00E80127"/>
    <w:rsid w:val="00E80DB4"/>
    <w:rsid w:val="00E83E93"/>
    <w:rsid w:val="00E84736"/>
    <w:rsid w:val="00E84F23"/>
    <w:rsid w:val="00E84F58"/>
    <w:rsid w:val="00E85BA6"/>
    <w:rsid w:val="00E85D45"/>
    <w:rsid w:val="00E876CE"/>
    <w:rsid w:val="00E938BB"/>
    <w:rsid w:val="00EA2507"/>
    <w:rsid w:val="00EA27D8"/>
    <w:rsid w:val="00EA5F27"/>
    <w:rsid w:val="00EB0738"/>
    <w:rsid w:val="00EB3202"/>
    <w:rsid w:val="00EB6369"/>
    <w:rsid w:val="00EC0D1D"/>
    <w:rsid w:val="00EC69C3"/>
    <w:rsid w:val="00ED279A"/>
    <w:rsid w:val="00ED2D05"/>
    <w:rsid w:val="00ED6381"/>
    <w:rsid w:val="00ED7DAD"/>
    <w:rsid w:val="00EE01E1"/>
    <w:rsid w:val="00EE0C62"/>
    <w:rsid w:val="00EE0EC2"/>
    <w:rsid w:val="00EE5D98"/>
    <w:rsid w:val="00EE76A3"/>
    <w:rsid w:val="00EF12FD"/>
    <w:rsid w:val="00EF1498"/>
    <w:rsid w:val="00EF1AAA"/>
    <w:rsid w:val="00F00E83"/>
    <w:rsid w:val="00F01FD4"/>
    <w:rsid w:val="00F040E9"/>
    <w:rsid w:val="00F1015D"/>
    <w:rsid w:val="00F11195"/>
    <w:rsid w:val="00F1176E"/>
    <w:rsid w:val="00F135E5"/>
    <w:rsid w:val="00F2016E"/>
    <w:rsid w:val="00F212E0"/>
    <w:rsid w:val="00F215AA"/>
    <w:rsid w:val="00F23139"/>
    <w:rsid w:val="00F23707"/>
    <w:rsid w:val="00F273F0"/>
    <w:rsid w:val="00F336B3"/>
    <w:rsid w:val="00F3610D"/>
    <w:rsid w:val="00F37FD0"/>
    <w:rsid w:val="00F42A6C"/>
    <w:rsid w:val="00F4381C"/>
    <w:rsid w:val="00F46781"/>
    <w:rsid w:val="00F46BE5"/>
    <w:rsid w:val="00F51C81"/>
    <w:rsid w:val="00F528C7"/>
    <w:rsid w:val="00F52D80"/>
    <w:rsid w:val="00F5727A"/>
    <w:rsid w:val="00F6161E"/>
    <w:rsid w:val="00F61CB5"/>
    <w:rsid w:val="00F6294D"/>
    <w:rsid w:val="00F6393B"/>
    <w:rsid w:val="00F66E52"/>
    <w:rsid w:val="00F67D98"/>
    <w:rsid w:val="00F70297"/>
    <w:rsid w:val="00F70AE5"/>
    <w:rsid w:val="00F72DB8"/>
    <w:rsid w:val="00F73E1D"/>
    <w:rsid w:val="00F76EDA"/>
    <w:rsid w:val="00F7700C"/>
    <w:rsid w:val="00F77DE0"/>
    <w:rsid w:val="00F804A8"/>
    <w:rsid w:val="00F809C7"/>
    <w:rsid w:val="00F82E0B"/>
    <w:rsid w:val="00F853A0"/>
    <w:rsid w:val="00F873B4"/>
    <w:rsid w:val="00F90AF2"/>
    <w:rsid w:val="00F91576"/>
    <w:rsid w:val="00F91B41"/>
    <w:rsid w:val="00F91DB9"/>
    <w:rsid w:val="00F938B4"/>
    <w:rsid w:val="00FA31E5"/>
    <w:rsid w:val="00FA7BB1"/>
    <w:rsid w:val="00FB1245"/>
    <w:rsid w:val="00FB1C99"/>
    <w:rsid w:val="00FB30CD"/>
    <w:rsid w:val="00FB7C2D"/>
    <w:rsid w:val="00FC11A8"/>
    <w:rsid w:val="00FC1BAC"/>
    <w:rsid w:val="00FC2164"/>
    <w:rsid w:val="00FC31A0"/>
    <w:rsid w:val="00FC4BE8"/>
    <w:rsid w:val="00FC4F4A"/>
    <w:rsid w:val="00FC58AC"/>
    <w:rsid w:val="00FD1B62"/>
    <w:rsid w:val="00FD5629"/>
    <w:rsid w:val="00FE0252"/>
    <w:rsid w:val="00FE06F9"/>
    <w:rsid w:val="00FE1007"/>
    <w:rsid w:val="00FE1FDA"/>
    <w:rsid w:val="00FE4185"/>
    <w:rsid w:val="00FE7041"/>
    <w:rsid w:val="00FE7837"/>
    <w:rsid w:val="00FE7C69"/>
    <w:rsid w:val="00FE7D07"/>
    <w:rsid w:val="00FF0376"/>
    <w:rsid w:val="00FF3781"/>
    <w:rsid w:val="00FF7BBA"/>
    <w:rsid w:val="00FF7D42"/>
    <w:rsid w:val="00FF7FA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085F9"/>
  <w15:docId w15:val="{35B880D7-D217-4B16-A41D-BCF3C44B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CA"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74AE3"/>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203E"/>
    <w:rPr>
      <w:color w:val="0000FF"/>
      <w:u w:val="single"/>
    </w:rPr>
  </w:style>
  <w:style w:type="paragraph" w:styleId="ListParagraph">
    <w:name w:val="List Paragraph"/>
    <w:basedOn w:val="Normal"/>
    <w:uiPriority w:val="34"/>
    <w:qFormat/>
    <w:rsid w:val="0088203E"/>
    <w:pPr>
      <w:ind w:left="720"/>
      <w:contextualSpacing/>
    </w:pPr>
  </w:style>
  <w:style w:type="paragraph" w:styleId="BalloonText">
    <w:name w:val="Balloon Text"/>
    <w:basedOn w:val="Normal"/>
    <w:link w:val="BalloonTextChar"/>
    <w:uiPriority w:val="99"/>
    <w:semiHidden/>
    <w:unhideWhenUsed/>
    <w:rsid w:val="00A73EB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EB1"/>
    <w:rPr>
      <w:rFonts w:ascii="Tahoma" w:hAnsi="Tahoma" w:cs="Tahoma"/>
      <w:sz w:val="16"/>
      <w:szCs w:val="16"/>
    </w:rPr>
  </w:style>
  <w:style w:type="character" w:styleId="CommentReference">
    <w:name w:val="annotation reference"/>
    <w:basedOn w:val="DefaultParagraphFont"/>
    <w:uiPriority w:val="99"/>
    <w:semiHidden/>
    <w:unhideWhenUsed/>
    <w:rsid w:val="000C7361"/>
    <w:rPr>
      <w:sz w:val="16"/>
      <w:szCs w:val="16"/>
    </w:rPr>
  </w:style>
  <w:style w:type="paragraph" w:styleId="CommentText">
    <w:name w:val="annotation text"/>
    <w:basedOn w:val="Normal"/>
    <w:link w:val="CommentTextChar"/>
    <w:uiPriority w:val="99"/>
    <w:semiHidden/>
    <w:unhideWhenUsed/>
    <w:rsid w:val="000C7361"/>
    <w:pPr>
      <w:spacing w:line="240" w:lineRule="auto"/>
    </w:pPr>
    <w:rPr>
      <w:sz w:val="20"/>
      <w:szCs w:val="20"/>
    </w:rPr>
  </w:style>
  <w:style w:type="character" w:customStyle="1" w:styleId="CommentTextChar">
    <w:name w:val="Comment Text Char"/>
    <w:basedOn w:val="DefaultParagraphFont"/>
    <w:link w:val="CommentText"/>
    <w:uiPriority w:val="99"/>
    <w:semiHidden/>
    <w:rsid w:val="000C7361"/>
    <w:rPr>
      <w:sz w:val="20"/>
      <w:szCs w:val="20"/>
    </w:rPr>
  </w:style>
  <w:style w:type="paragraph" w:styleId="CommentSubject">
    <w:name w:val="annotation subject"/>
    <w:basedOn w:val="CommentText"/>
    <w:next w:val="CommentText"/>
    <w:link w:val="CommentSubjectChar"/>
    <w:uiPriority w:val="99"/>
    <w:semiHidden/>
    <w:unhideWhenUsed/>
    <w:rsid w:val="000C7361"/>
    <w:rPr>
      <w:b/>
      <w:bCs/>
    </w:rPr>
  </w:style>
  <w:style w:type="character" w:customStyle="1" w:styleId="CommentSubjectChar">
    <w:name w:val="Comment Subject Char"/>
    <w:basedOn w:val="CommentTextChar"/>
    <w:link w:val="CommentSubject"/>
    <w:uiPriority w:val="99"/>
    <w:semiHidden/>
    <w:rsid w:val="000C7361"/>
    <w:rPr>
      <w:b/>
      <w:bCs/>
      <w:sz w:val="20"/>
      <w:szCs w:val="20"/>
    </w:rPr>
  </w:style>
  <w:style w:type="paragraph" w:styleId="FootnoteText">
    <w:name w:val="footnote text"/>
    <w:basedOn w:val="Normal"/>
    <w:link w:val="FootnoteTextChar"/>
    <w:uiPriority w:val="99"/>
    <w:semiHidden/>
    <w:unhideWhenUsed/>
    <w:rsid w:val="007511FA"/>
    <w:pPr>
      <w:spacing w:line="240" w:lineRule="auto"/>
    </w:pPr>
    <w:rPr>
      <w:sz w:val="20"/>
      <w:szCs w:val="20"/>
    </w:rPr>
  </w:style>
  <w:style w:type="character" w:customStyle="1" w:styleId="FootnoteTextChar">
    <w:name w:val="Footnote Text Char"/>
    <w:basedOn w:val="DefaultParagraphFont"/>
    <w:link w:val="FootnoteText"/>
    <w:uiPriority w:val="99"/>
    <w:semiHidden/>
    <w:rsid w:val="007511FA"/>
    <w:rPr>
      <w:sz w:val="20"/>
      <w:szCs w:val="20"/>
    </w:rPr>
  </w:style>
  <w:style w:type="character" w:styleId="FootnoteReference">
    <w:name w:val="footnote reference"/>
    <w:basedOn w:val="DefaultParagraphFont"/>
    <w:uiPriority w:val="99"/>
    <w:semiHidden/>
    <w:unhideWhenUsed/>
    <w:rsid w:val="007511FA"/>
    <w:rPr>
      <w:vertAlign w:val="superscript"/>
    </w:rPr>
  </w:style>
  <w:style w:type="character" w:styleId="PlaceholderText">
    <w:name w:val="Placeholder Text"/>
    <w:basedOn w:val="DefaultParagraphFont"/>
    <w:uiPriority w:val="99"/>
    <w:semiHidden/>
    <w:rsid w:val="00E10B5D"/>
    <w:rPr>
      <w:color w:val="808080"/>
    </w:rPr>
  </w:style>
  <w:style w:type="table" w:styleId="TableGrid">
    <w:name w:val="Table Grid"/>
    <w:basedOn w:val="TableNormal"/>
    <w:uiPriority w:val="39"/>
    <w:rsid w:val="00F938B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74AE3"/>
    <w:rPr>
      <w:rFonts w:eastAsia="Times New Roman" w:cs="Times New Roman"/>
      <w:b/>
      <w:bCs/>
      <w:kern w:val="36"/>
      <w:sz w:val="48"/>
      <w:szCs w:val="48"/>
    </w:rPr>
  </w:style>
  <w:style w:type="character" w:customStyle="1" w:styleId="hidden-xs">
    <w:name w:val="hidden-xs"/>
    <w:basedOn w:val="DefaultParagraphFont"/>
    <w:rsid w:val="00074AE3"/>
  </w:style>
  <w:style w:type="character" w:styleId="FollowedHyperlink">
    <w:name w:val="FollowedHyperlink"/>
    <w:basedOn w:val="DefaultParagraphFont"/>
    <w:uiPriority w:val="99"/>
    <w:semiHidden/>
    <w:unhideWhenUsed/>
    <w:rsid w:val="001D4AA8"/>
    <w:rPr>
      <w:color w:val="954F72" w:themeColor="followedHyperlink"/>
      <w:u w:val="single"/>
    </w:rPr>
  </w:style>
  <w:style w:type="character" w:styleId="UnresolvedMention">
    <w:name w:val="Unresolved Mention"/>
    <w:basedOn w:val="DefaultParagraphFont"/>
    <w:uiPriority w:val="99"/>
    <w:semiHidden/>
    <w:unhideWhenUsed/>
    <w:rsid w:val="0090462C"/>
    <w:rPr>
      <w:color w:val="605E5C"/>
      <w:shd w:val="clear" w:color="auto" w:fill="E1DFDD"/>
    </w:rPr>
  </w:style>
  <w:style w:type="paragraph" w:styleId="Revision">
    <w:name w:val="Revision"/>
    <w:hidden/>
    <w:uiPriority w:val="99"/>
    <w:semiHidden/>
    <w:rsid w:val="00AF688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33065">
      <w:bodyDiv w:val="1"/>
      <w:marLeft w:val="0"/>
      <w:marRight w:val="0"/>
      <w:marTop w:val="0"/>
      <w:marBottom w:val="0"/>
      <w:divBdr>
        <w:top w:val="none" w:sz="0" w:space="0" w:color="auto"/>
        <w:left w:val="none" w:sz="0" w:space="0" w:color="auto"/>
        <w:bottom w:val="none" w:sz="0" w:space="0" w:color="auto"/>
        <w:right w:val="none" w:sz="0" w:space="0" w:color="auto"/>
      </w:divBdr>
    </w:div>
    <w:div w:id="221791020">
      <w:bodyDiv w:val="1"/>
      <w:marLeft w:val="0"/>
      <w:marRight w:val="0"/>
      <w:marTop w:val="0"/>
      <w:marBottom w:val="0"/>
      <w:divBdr>
        <w:top w:val="none" w:sz="0" w:space="0" w:color="auto"/>
        <w:left w:val="none" w:sz="0" w:space="0" w:color="auto"/>
        <w:bottom w:val="none" w:sz="0" w:space="0" w:color="auto"/>
        <w:right w:val="none" w:sz="0" w:space="0" w:color="auto"/>
      </w:divBdr>
    </w:div>
    <w:div w:id="271788963">
      <w:bodyDiv w:val="1"/>
      <w:marLeft w:val="0"/>
      <w:marRight w:val="0"/>
      <w:marTop w:val="0"/>
      <w:marBottom w:val="0"/>
      <w:divBdr>
        <w:top w:val="none" w:sz="0" w:space="0" w:color="auto"/>
        <w:left w:val="none" w:sz="0" w:space="0" w:color="auto"/>
        <w:bottom w:val="none" w:sz="0" w:space="0" w:color="auto"/>
        <w:right w:val="none" w:sz="0" w:space="0" w:color="auto"/>
      </w:divBdr>
    </w:div>
    <w:div w:id="313922473">
      <w:bodyDiv w:val="1"/>
      <w:marLeft w:val="0"/>
      <w:marRight w:val="0"/>
      <w:marTop w:val="0"/>
      <w:marBottom w:val="0"/>
      <w:divBdr>
        <w:top w:val="none" w:sz="0" w:space="0" w:color="auto"/>
        <w:left w:val="none" w:sz="0" w:space="0" w:color="auto"/>
        <w:bottom w:val="none" w:sz="0" w:space="0" w:color="auto"/>
        <w:right w:val="none" w:sz="0" w:space="0" w:color="auto"/>
      </w:divBdr>
    </w:div>
    <w:div w:id="346097581">
      <w:bodyDiv w:val="1"/>
      <w:marLeft w:val="0"/>
      <w:marRight w:val="0"/>
      <w:marTop w:val="0"/>
      <w:marBottom w:val="0"/>
      <w:divBdr>
        <w:top w:val="none" w:sz="0" w:space="0" w:color="auto"/>
        <w:left w:val="none" w:sz="0" w:space="0" w:color="auto"/>
        <w:bottom w:val="none" w:sz="0" w:space="0" w:color="auto"/>
        <w:right w:val="none" w:sz="0" w:space="0" w:color="auto"/>
      </w:divBdr>
    </w:div>
    <w:div w:id="366032011">
      <w:bodyDiv w:val="1"/>
      <w:marLeft w:val="0"/>
      <w:marRight w:val="0"/>
      <w:marTop w:val="0"/>
      <w:marBottom w:val="0"/>
      <w:divBdr>
        <w:top w:val="none" w:sz="0" w:space="0" w:color="auto"/>
        <w:left w:val="none" w:sz="0" w:space="0" w:color="auto"/>
        <w:bottom w:val="none" w:sz="0" w:space="0" w:color="auto"/>
        <w:right w:val="none" w:sz="0" w:space="0" w:color="auto"/>
      </w:divBdr>
    </w:div>
    <w:div w:id="467011133">
      <w:bodyDiv w:val="1"/>
      <w:marLeft w:val="0"/>
      <w:marRight w:val="0"/>
      <w:marTop w:val="0"/>
      <w:marBottom w:val="0"/>
      <w:divBdr>
        <w:top w:val="none" w:sz="0" w:space="0" w:color="auto"/>
        <w:left w:val="none" w:sz="0" w:space="0" w:color="auto"/>
        <w:bottom w:val="none" w:sz="0" w:space="0" w:color="auto"/>
        <w:right w:val="none" w:sz="0" w:space="0" w:color="auto"/>
      </w:divBdr>
    </w:div>
    <w:div w:id="480007488">
      <w:bodyDiv w:val="1"/>
      <w:marLeft w:val="0"/>
      <w:marRight w:val="0"/>
      <w:marTop w:val="0"/>
      <w:marBottom w:val="0"/>
      <w:divBdr>
        <w:top w:val="none" w:sz="0" w:space="0" w:color="auto"/>
        <w:left w:val="none" w:sz="0" w:space="0" w:color="auto"/>
        <w:bottom w:val="none" w:sz="0" w:space="0" w:color="auto"/>
        <w:right w:val="none" w:sz="0" w:space="0" w:color="auto"/>
      </w:divBdr>
    </w:div>
    <w:div w:id="538051551">
      <w:bodyDiv w:val="1"/>
      <w:marLeft w:val="0"/>
      <w:marRight w:val="0"/>
      <w:marTop w:val="0"/>
      <w:marBottom w:val="0"/>
      <w:divBdr>
        <w:top w:val="none" w:sz="0" w:space="0" w:color="auto"/>
        <w:left w:val="none" w:sz="0" w:space="0" w:color="auto"/>
        <w:bottom w:val="none" w:sz="0" w:space="0" w:color="auto"/>
        <w:right w:val="none" w:sz="0" w:space="0" w:color="auto"/>
      </w:divBdr>
    </w:div>
    <w:div w:id="594287907">
      <w:bodyDiv w:val="1"/>
      <w:marLeft w:val="0"/>
      <w:marRight w:val="0"/>
      <w:marTop w:val="0"/>
      <w:marBottom w:val="0"/>
      <w:divBdr>
        <w:top w:val="none" w:sz="0" w:space="0" w:color="auto"/>
        <w:left w:val="none" w:sz="0" w:space="0" w:color="auto"/>
        <w:bottom w:val="none" w:sz="0" w:space="0" w:color="auto"/>
        <w:right w:val="none" w:sz="0" w:space="0" w:color="auto"/>
      </w:divBdr>
    </w:div>
    <w:div w:id="599141741">
      <w:bodyDiv w:val="1"/>
      <w:marLeft w:val="0"/>
      <w:marRight w:val="0"/>
      <w:marTop w:val="0"/>
      <w:marBottom w:val="0"/>
      <w:divBdr>
        <w:top w:val="none" w:sz="0" w:space="0" w:color="auto"/>
        <w:left w:val="none" w:sz="0" w:space="0" w:color="auto"/>
        <w:bottom w:val="none" w:sz="0" w:space="0" w:color="auto"/>
        <w:right w:val="none" w:sz="0" w:space="0" w:color="auto"/>
      </w:divBdr>
    </w:div>
    <w:div w:id="691801267">
      <w:bodyDiv w:val="1"/>
      <w:marLeft w:val="0"/>
      <w:marRight w:val="0"/>
      <w:marTop w:val="0"/>
      <w:marBottom w:val="0"/>
      <w:divBdr>
        <w:top w:val="none" w:sz="0" w:space="0" w:color="auto"/>
        <w:left w:val="none" w:sz="0" w:space="0" w:color="auto"/>
        <w:bottom w:val="none" w:sz="0" w:space="0" w:color="auto"/>
        <w:right w:val="none" w:sz="0" w:space="0" w:color="auto"/>
      </w:divBdr>
    </w:div>
    <w:div w:id="756053255">
      <w:bodyDiv w:val="1"/>
      <w:marLeft w:val="0"/>
      <w:marRight w:val="0"/>
      <w:marTop w:val="0"/>
      <w:marBottom w:val="0"/>
      <w:divBdr>
        <w:top w:val="none" w:sz="0" w:space="0" w:color="auto"/>
        <w:left w:val="none" w:sz="0" w:space="0" w:color="auto"/>
        <w:bottom w:val="none" w:sz="0" w:space="0" w:color="auto"/>
        <w:right w:val="none" w:sz="0" w:space="0" w:color="auto"/>
      </w:divBdr>
    </w:div>
    <w:div w:id="774712325">
      <w:bodyDiv w:val="1"/>
      <w:marLeft w:val="0"/>
      <w:marRight w:val="0"/>
      <w:marTop w:val="0"/>
      <w:marBottom w:val="0"/>
      <w:divBdr>
        <w:top w:val="none" w:sz="0" w:space="0" w:color="auto"/>
        <w:left w:val="none" w:sz="0" w:space="0" w:color="auto"/>
        <w:bottom w:val="none" w:sz="0" w:space="0" w:color="auto"/>
        <w:right w:val="none" w:sz="0" w:space="0" w:color="auto"/>
      </w:divBdr>
    </w:div>
    <w:div w:id="859052739">
      <w:bodyDiv w:val="1"/>
      <w:marLeft w:val="0"/>
      <w:marRight w:val="0"/>
      <w:marTop w:val="0"/>
      <w:marBottom w:val="0"/>
      <w:divBdr>
        <w:top w:val="none" w:sz="0" w:space="0" w:color="auto"/>
        <w:left w:val="none" w:sz="0" w:space="0" w:color="auto"/>
        <w:bottom w:val="none" w:sz="0" w:space="0" w:color="auto"/>
        <w:right w:val="none" w:sz="0" w:space="0" w:color="auto"/>
      </w:divBdr>
    </w:div>
    <w:div w:id="945619403">
      <w:bodyDiv w:val="1"/>
      <w:marLeft w:val="0"/>
      <w:marRight w:val="0"/>
      <w:marTop w:val="0"/>
      <w:marBottom w:val="0"/>
      <w:divBdr>
        <w:top w:val="none" w:sz="0" w:space="0" w:color="auto"/>
        <w:left w:val="none" w:sz="0" w:space="0" w:color="auto"/>
        <w:bottom w:val="none" w:sz="0" w:space="0" w:color="auto"/>
        <w:right w:val="none" w:sz="0" w:space="0" w:color="auto"/>
      </w:divBdr>
    </w:div>
    <w:div w:id="964236662">
      <w:bodyDiv w:val="1"/>
      <w:marLeft w:val="0"/>
      <w:marRight w:val="0"/>
      <w:marTop w:val="0"/>
      <w:marBottom w:val="0"/>
      <w:divBdr>
        <w:top w:val="none" w:sz="0" w:space="0" w:color="auto"/>
        <w:left w:val="none" w:sz="0" w:space="0" w:color="auto"/>
        <w:bottom w:val="none" w:sz="0" w:space="0" w:color="auto"/>
        <w:right w:val="none" w:sz="0" w:space="0" w:color="auto"/>
      </w:divBdr>
    </w:div>
    <w:div w:id="972708621">
      <w:bodyDiv w:val="1"/>
      <w:marLeft w:val="0"/>
      <w:marRight w:val="0"/>
      <w:marTop w:val="0"/>
      <w:marBottom w:val="0"/>
      <w:divBdr>
        <w:top w:val="none" w:sz="0" w:space="0" w:color="auto"/>
        <w:left w:val="none" w:sz="0" w:space="0" w:color="auto"/>
        <w:bottom w:val="none" w:sz="0" w:space="0" w:color="auto"/>
        <w:right w:val="none" w:sz="0" w:space="0" w:color="auto"/>
      </w:divBdr>
    </w:div>
    <w:div w:id="1135216909">
      <w:bodyDiv w:val="1"/>
      <w:marLeft w:val="0"/>
      <w:marRight w:val="0"/>
      <w:marTop w:val="0"/>
      <w:marBottom w:val="0"/>
      <w:divBdr>
        <w:top w:val="none" w:sz="0" w:space="0" w:color="auto"/>
        <w:left w:val="none" w:sz="0" w:space="0" w:color="auto"/>
        <w:bottom w:val="none" w:sz="0" w:space="0" w:color="auto"/>
        <w:right w:val="none" w:sz="0" w:space="0" w:color="auto"/>
      </w:divBdr>
    </w:div>
    <w:div w:id="1247887591">
      <w:bodyDiv w:val="1"/>
      <w:marLeft w:val="0"/>
      <w:marRight w:val="0"/>
      <w:marTop w:val="0"/>
      <w:marBottom w:val="0"/>
      <w:divBdr>
        <w:top w:val="none" w:sz="0" w:space="0" w:color="auto"/>
        <w:left w:val="none" w:sz="0" w:space="0" w:color="auto"/>
        <w:bottom w:val="none" w:sz="0" w:space="0" w:color="auto"/>
        <w:right w:val="none" w:sz="0" w:space="0" w:color="auto"/>
      </w:divBdr>
    </w:div>
    <w:div w:id="1498302121">
      <w:bodyDiv w:val="1"/>
      <w:marLeft w:val="0"/>
      <w:marRight w:val="0"/>
      <w:marTop w:val="0"/>
      <w:marBottom w:val="0"/>
      <w:divBdr>
        <w:top w:val="none" w:sz="0" w:space="0" w:color="auto"/>
        <w:left w:val="none" w:sz="0" w:space="0" w:color="auto"/>
        <w:bottom w:val="none" w:sz="0" w:space="0" w:color="auto"/>
        <w:right w:val="none" w:sz="0" w:space="0" w:color="auto"/>
      </w:divBdr>
    </w:div>
    <w:div w:id="1827358302">
      <w:bodyDiv w:val="1"/>
      <w:marLeft w:val="0"/>
      <w:marRight w:val="0"/>
      <w:marTop w:val="0"/>
      <w:marBottom w:val="0"/>
      <w:divBdr>
        <w:top w:val="none" w:sz="0" w:space="0" w:color="auto"/>
        <w:left w:val="none" w:sz="0" w:space="0" w:color="auto"/>
        <w:bottom w:val="none" w:sz="0" w:space="0" w:color="auto"/>
        <w:right w:val="none" w:sz="0" w:space="0" w:color="auto"/>
      </w:divBdr>
    </w:div>
    <w:div w:id="1912344148">
      <w:bodyDiv w:val="1"/>
      <w:marLeft w:val="0"/>
      <w:marRight w:val="0"/>
      <w:marTop w:val="0"/>
      <w:marBottom w:val="0"/>
      <w:divBdr>
        <w:top w:val="none" w:sz="0" w:space="0" w:color="auto"/>
        <w:left w:val="none" w:sz="0" w:space="0" w:color="auto"/>
        <w:bottom w:val="none" w:sz="0" w:space="0" w:color="auto"/>
        <w:right w:val="none" w:sz="0" w:space="0" w:color="auto"/>
      </w:divBdr>
    </w:div>
    <w:div w:id="199637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illtimes.com/2018/07/04/improve-use-name-blind-recruitment-boost-diversity-senate-admin-says-subcommittee/149798" TargetMode="External"/><Relationship Id="rId18" Type="http://schemas.openxmlformats.org/officeDocument/2006/relationships/hyperlink" Target="http://psacunion.ca/employment-equity-tool-kit-psac-members" TargetMode="External"/><Relationship Id="rId26" Type="http://schemas.openxmlformats.org/officeDocument/2006/relationships/hyperlink" Target="https://www150.statcan.gc.ca/n1/pub/91-551-x/91-551-x2017001-eng.htm" TargetMode="External"/><Relationship Id="rId3" Type="http://schemas.openxmlformats.org/officeDocument/2006/relationships/styles" Target="styles.xml"/><Relationship Id="rId21" Type="http://schemas.openxmlformats.org/officeDocument/2006/relationships/hyperlink" Target="https://sencanada.ca/content/sen/Committee/412/ridr/rep/rep02dec13-e.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anada.ca/en/employment-social-development/services/labour-standards/reports/employment-equity-2018.html" TargetMode="External"/><Relationship Id="rId17" Type="http://schemas.openxmlformats.org/officeDocument/2006/relationships/hyperlink" Target="http://publications.gc.ca/collections/collection_2012/cfp-psc/SC3-159-2011-eng.pdf" TargetMode="External"/><Relationship Id="rId25" Type="http://schemas.openxmlformats.org/officeDocument/2006/relationships/hyperlink" Target="https://www12.statcan.gc.ca/census-recensement/2016/as-sa/fogs-spg/Facts-can-eng.cfm?Lang=Eng&amp;GK=CAN&amp;GC=01&amp;TOPIC=1" TargetMode="External"/><Relationship Id="rId33" Type="http://schemas.openxmlformats.org/officeDocument/2006/relationships/hyperlink" Target="https://www.canada.ca/content/dam/tbs-sct/documents/employment-equity-report/20190315-eng.pdf" TargetMode="External"/><Relationship Id="rId2" Type="http://schemas.openxmlformats.org/officeDocument/2006/relationships/numbering" Target="numbering.xml"/><Relationship Id="rId16" Type="http://schemas.openxmlformats.org/officeDocument/2006/relationships/hyperlink" Target="https://www.cnn.com/2019/01/10/world/canada-immigration-trnd/index.html" TargetMode="External"/><Relationship Id="rId20" Type="http://schemas.openxmlformats.org/officeDocument/2006/relationships/hyperlink" Target="https://sencanada.ca/content/sen/Committee/411/ciba/rep/rep16dec12-e.pdf" TargetMode="External"/><Relationship Id="rId29" Type="http://schemas.openxmlformats.org/officeDocument/2006/relationships/hyperlink" Target="https://www150.statcan.gc.ca/n1/en/pub/11-630-x/11-630-x2018001-eng.pdf?st=cgDy__7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nada.ca/content/dam/ircc/migration/ircc/english/pdf/pub/multi-report2012.pdf" TargetMode="External"/><Relationship Id="rId24" Type="http://schemas.openxmlformats.org/officeDocument/2006/relationships/hyperlink" Target="https://www12.statcan.gc.ca/nhs-enm/2011/as-sa/99-010-x/99-010-x2011001-eng.pdf" TargetMode="External"/><Relationship Id="rId32" Type="http://schemas.openxmlformats.org/officeDocument/2006/relationships/hyperlink" Target="http://publications.gc.ca/collections/collection_2017/sct-tbs/BT22-184-2017-eng.pdf" TargetMode="External"/><Relationship Id="rId5" Type="http://schemas.openxmlformats.org/officeDocument/2006/relationships/webSettings" Target="webSettings.xml"/><Relationship Id="rId15" Type="http://schemas.openxmlformats.org/officeDocument/2006/relationships/hyperlink" Target="https://www.migrationpolicy.org/research/whats-so-special-about-canada-understanding-resilience-immigration-and-multiculturalism" TargetMode="External"/><Relationship Id="rId23" Type="http://schemas.openxmlformats.org/officeDocument/2006/relationships/hyperlink" Target="https://www12.statcan.gc.ca/nhs-enm/2011/as-sa/99-010-x/99-010-x2011003_1-eng.cfm" TargetMode="External"/><Relationship Id="rId28" Type="http://schemas.openxmlformats.org/officeDocument/2006/relationships/hyperlink" Target="https://www12.statcan.gc.ca/census-recensement/2016/as-sa/98-200-x/2016010/98-200-x2016010-eng.cfm" TargetMode="External"/><Relationship Id="rId10" Type="http://schemas.openxmlformats.org/officeDocument/2006/relationships/hyperlink" Target="http://publications.gc.ca/collections/collection_2019/pch/CH31-1-2018-eng.pdf" TargetMode="External"/><Relationship Id="rId19" Type="http://schemas.openxmlformats.org/officeDocument/2006/relationships/hyperlink" Target="https://www.migrationpolicy.org/article/canada-policy-changes-and-integration-challenges-increasingly-diverse-society" TargetMode="External"/><Relationship Id="rId31" Type="http://schemas.openxmlformats.org/officeDocument/2006/relationships/hyperlink" Target="https://ipolitics.ca/2013/06/28/harper-government-reduces-employment-equity-requirements-for-contractors/" TargetMode="External"/><Relationship Id="rId4" Type="http://schemas.openxmlformats.org/officeDocument/2006/relationships/settings" Target="settings.xml"/><Relationship Id="rId9" Type="http://schemas.openxmlformats.org/officeDocument/2006/relationships/hyperlink" Target="https://nationalpost.com/news/canada/canada-census-2011-immigrants-and-newcomers-drive-population-growth" TargetMode="External"/><Relationship Id="rId14" Type="http://schemas.openxmlformats.org/officeDocument/2006/relationships/hyperlink" Target="https://policyoptions.irpp.org/magazines/february-2017/diversity-in-the-senate/" TargetMode="External"/><Relationship Id="rId22" Type="http://schemas.openxmlformats.org/officeDocument/2006/relationships/hyperlink" Target="https://sencanada.ca/content/sen/committee/421/CIBA/Reports/CIBA_DVSC_Web_E.pdf" TargetMode="External"/><Relationship Id="rId27" Type="http://schemas.openxmlformats.org/officeDocument/2006/relationships/hyperlink" Target="https://www150.statcan.gc.ca/n1/en/daily-quotidien/171025/dq171025b-eng.pdf?st=dBjBKt0r" TargetMode="External"/><Relationship Id="rId30" Type="http://schemas.openxmlformats.org/officeDocument/2006/relationships/hyperlink" Target="https://www.reuters.com/article/us-eu-eurobarometer/immigration-terrorism-top-concern-list-of-europeans-poll-idUSKBN1JA2FX" TargetMode="External"/><Relationship Id="rId35" Type="http://schemas.openxmlformats.org/officeDocument/2006/relationships/theme" Target="theme/theme1.xml"/><Relationship Id="rId8" Type="http://schemas.openxmlformats.org/officeDocument/2006/relationships/hyperlink" Target="http://publications.gc.ca/collections/collection_2014/bcp-pco/Z1-1963-1-5-1-1-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38148-5F5A-9945-B8C5-60AB37C73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9553</Words>
  <Characters>54454</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CSS-CCS</Company>
  <LinksUpToDate>false</LinksUpToDate>
  <CharactersWithSpaces>63880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Lam</dc:creator>
  <cp:keywords/>
  <dc:description/>
  <cp:lastModifiedBy>Eddy Ng</cp:lastModifiedBy>
  <cp:revision>4</cp:revision>
  <cp:lastPrinted>2019-11-12T14:53:00Z</cp:lastPrinted>
  <dcterms:created xsi:type="dcterms:W3CDTF">2019-12-14T21:21:00Z</dcterms:created>
  <dcterms:modified xsi:type="dcterms:W3CDTF">2019-12-23T00:50:00Z</dcterms:modified>
</cp:coreProperties>
</file>